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66" w:rsidRDefault="00FD0366" w:rsidP="00FD0366">
      <w:pPr>
        <w:pStyle w:val="Ttulo"/>
      </w:pPr>
      <w:bookmarkStart w:id="0" w:name="_GoBack"/>
      <w:bookmarkEnd w:id="0"/>
      <w:r>
        <w:t>INDICAÇÃO Nº   1984  /2011</w:t>
      </w:r>
    </w:p>
    <w:p w:rsidR="00FD0366" w:rsidRDefault="00FD0366" w:rsidP="00FD0366">
      <w:pPr>
        <w:jc w:val="center"/>
        <w:rPr>
          <w:rFonts w:ascii="Bookman Old Style" w:hAnsi="Bookman Old Style"/>
          <w:b/>
          <w:u w:val="single"/>
        </w:rPr>
      </w:pPr>
    </w:p>
    <w:p w:rsidR="00FD0366" w:rsidRDefault="00FD0366" w:rsidP="00FD0366">
      <w:pPr>
        <w:jc w:val="center"/>
        <w:rPr>
          <w:rFonts w:ascii="Bookman Old Style" w:hAnsi="Bookman Old Style"/>
          <w:b/>
          <w:u w:val="single"/>
        </w:rPr>
      </w:pPr>
    </w:p>
    <w:p w:rsidR="00FD0366" w:rsidRDefault="00FD0366" w:rsidP="00FD0366">
      <w:pPr>
        <w:pStyle w:val="Recuodecorpodetexto"/>
        <w:ind w:left="4440"/>
      </w:pPr>
      <w:r>
        <w:t>“Manutenção nas guias da sarjeta na Rua do Petróleo, no Jardim Pérola”.</w:t>
      </w:r>
    </w:p>
    <w:p w:rsidR="00FD0366" w:rsidRDefault="00FD0366" w:rsidP="00FD0366">
      <w:pPr>
        <w:ind w:left="1440" w:firstLine="3600"/>
        <w:jc w:val="both"/>
        <w:rPr>
          <w:rFonts w:ascii="Bookman Old Style" w:hAnsi="Bookman Old Style"/>
        </w:rPr>
      </w:pPr>
    </w:p>
    <w:p w:rsidR="00FD0366" w:rsidRDefault="00FD0366" w:rsidP="00FD0366">
      <w:pPr>
        <w:ind w:left="1440" w:firstLine="3600"/>
        <w:jc w:val="both"/>
        <w:rPr>
          <w:rFonts w:ascii="Bookman Old Style" w:hAnsi="Bookman Old Style"/>
        </w:rPr>
      </w:pPr>
    </w:p>
    <w:p w:rsidR="00FD0366" w:rsidRDefault="00FD0366" w:rsidP="00FD0366">
      <w:pPr>
        <w:ind w:left="1440" w:firstLine="3600"/>
        <w:jc w:val="both"/>
        <w:rPr>
          <w:rFonts w:ascii="Bookman Old Style" w:hAnsi="Bookman Old Style"/>
        </w:rPr>
      </w:pPr>
    </w:p>
    <w:p w:rsidR="00FD0366" w:rsidRDefault="00FD0366" w:rsidP="00FD0366">
      <w:pPr>
        <w:ind w:left="1440" w:firstLine="3600"/>
        <w:jc w:val="both"/>
        <w:rPr>
          <w:rFonts w:ascii="Bookman Old Style" w:hAnsi="Bookman Old Style"/>
        </w:rPr>
      </w:pPr>
    </w:p>
    <w:p w:rsidR="00FD0366" w:rsidRDefault="00FD0366" w:rsidP="00FD036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manutenção nas guias da sarjeta da Rua do Petróleo, trecho correspondente entre as Ruas do Amendoim e do Centeio no Jardim Perola.</w:t>
      </w:r>
    </w:p>
    <w:p w:rsidR="00FD0366" w:rsidRDefault="00FD0366" w:rsidP="00FD0366">
      <w:pPr>
        <w:jc w:val="center"/>
        <w:rPr>
          <w:rFonts w:ascii="Bookman Old Style" w:hAnsi="Bookman Old Style"/>
          <w:b/>
        </w:rPr>
      </w:pPr>
    </w:p>
    <w:p w:rsidR="00FD0366" w:rsidRDefault="00FD0366" w:rsidP="00FD0366">
      <w:pPr>
        <w:jc w:val="center"/>
        <w:rPr>
          <w:rFonts w:ascii="Bookman Old Style" w:hAnsi="Bookman Old Style"/>
          <w:b/>
        </w:rPr>
      </w:pPr>
    </w:p>
    <w:p w:rsidR="00FD0366" w:rsidRDefault="00FD0366" w:rsidP="00FD03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D0366" w:rsidRDefault="00FD0366" w:rsidP="00FD0366">
      <w:pPr>
        <w:jc w:val="center"/>
        <w:rPr>
          <w:rFonts w:ascii="Bookman Old Style" w:hAnsi="Bookman Old Style"/>
          <w:b/>
        </w:rPr>
      </w:pPr>
    </w:p>
    <w:p w:rsidR="00FD0366" w:rsidRDefault="00FD0366" w:rsidP="00FD0366">
      <w:pPr>
        <w:jc w:val="center"/>
        <w:rPr>
          <w:rFonts w:ascii="Bookman Old Style" w:hAnsi="Bookman Old Style"/>
          <w:b/>
        </w:rPr>
      </w:pPr>
    </w:p>
    <w:p w:rsidR="00FD0366" w:rsidRDefault="00FD0366" w:rsidP="00FD036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a situação precária da guia no trecho supra mencionado vem acumulando água que escorre de diversos pontos da Rua do Petróleo e acaba virando criadouro do mosquito transmissor da Dengue.</w:t>
      </w:r>
    </w:p>
    <w:p w:rsidR="00FD0366" w:rsidRDefault="00FD0366" w:rsidP="00FD0366">
      <w:pPr>
        <w:ind w:firstLine="1440"/>
        <w:jc w:val="both"/>
        <w:rPr>
          <w:rFonts w:ascii="Bookman Old Style" w:hAnsi="Bookman Old Style"/>
        </w:rPr>
      </w:pPr>
    </w:p>
    <w:p w:rsidR="00FD0366" w:rsidRDefault="00FD0366" w:rsidP="00FD0366">
      <w:pPr>
        <w:ind w:firstLine="1440"/>
        <w:jc w:val="both"/>
        <w:outlineLvl w:val="0"/>
        <w:rPr>
          <w:rFonts w:ascii="Bookman Old Style" w:hAnsi="Bookman Old Style"/>
        </w:rPr>
      </w:pPr>
    </w:p>
    <w:p w:rsidR="00FD0366" w:rsidRDefault="00FD0366" w:rsidP="00FD0366">
      <w:pPr>
        <w:ind w:firstLine="1440"/>
        <w:outlineLvl w:val="0"/>
        <w:rPr>
          <w:rFonts w:ascii="Bookman Old Style" w:hAnsi="Bookman Old Style"/>
        </w:rPr>
      </w:pPr>
    </w:p>
    <w:p w:rsidR="00FD0366" w:rsidRDefault="00FD0366" w:rsidP="00FD0366">
      <w:pPr>
        <w:ind w:firstLine="1440"/>
        <w:outlineLvl w:val="0"/>
        <w:rPr>
          <w:rFonts w:ascii="Bookman Old Style" w:hAnsi="Bookman Old Style"/>
        </w:rPr>
      </w:pPr>
    </w:p>
    <w:p w:rsidR="00FD0366" w:rsidRDefault="00FD0366" w:rsidP="00FD036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FD0366" w:rsidRDefault="00FD0366" w:rsidP="00FD0366">
      <w:pPr>
        <w:ind w:firstLine="1440"/>
        <w:rPr>
          <w:rFonts w:ascii="Bookman Old Style" w:hAnsi="Bookman Old Style"/>
        </w:rPr>
      </w:pPr>
    </w:p>
    <w:p w:rsidR="00FD0366" w:rsidRDefault="00FD0366" w:rsidP="00FD0366">
      <w:pPr>
        <w:rPr>
          <w:rFonts w:ascii="Bookman Old Style" w:hAnsi="Bookman Old Style"/>
        </w:rPr>
      </w:pPr>
    </w:p>
    <w:p w:rsidR="00FD0366" w:rsidRDefault="00FD0366" w:rsidP="00FD0366">
      <w:pPr>
        <w:ind w:firstLine="1440"/>
        <w:rPr>
          <w:rFonts w:ascii="Bookman Old Style" w:hAnsi="Bookman Old Style"/>
        </w:rPr>
      </w:pPr>
    </w:p>
    <w:p w:rsidR="00FD0366" w:rsidRDefault="00FD0366" w:rsidP="00FD0366">
      <w:pPr>
        <w:ind w:firstLine="1440"/>
        <w:rPr>
          <w:rFonts w:ascii="Bookman Old Style" w:hAnsi="Bookman Old Style"/>
        </w:rPr>
      </w:pPr>
    </w:p>
    <w:p w:rsidR="00FD0366" w:rsidRDefault="00FD0366" w:rsidP="00FD0366">
      <w:pPr>
        <w:ind w:firstLine="1440"/>
        <w:rPr>
          <w:rFonts w:ascii="Bookman Old Style" w:hAnsi="Bookman Old Style"/>
        </w:rPr>
      </w:pPr>
    </w:p>
    <w:p w:rsidR="00FD0366" w:rsidRDefault="00FD0366" w:rsidP="00FD0366">
      <w:pPr>
        <w:jc w:val="center"/>
        <w:outlineLvl w:val="0"/>
        <w:rPr>
          <w:rFonts w:ascii="Bookman Old Style" w:hAnsi="Bookman Old Style"/>
          <w:b/>
        </w:rPr>
      </w:pPr>
    </w:p>
    <w:p w:rsidR="00FD0366" w:rsidRDefault="00FD0366" w:rsidP="00FD03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D0366" w:rsidRDefault="00FD0366" w:rsidP="00FD03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D0366" w:rsidRDefault="00FD0366" w:rsidP="00FD036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A9" w:rsidRDefault="00571FA9">
      <w:r>
        <w:separator/>
      </w:r>
    </w:p>
  </w:endnote>
  <w:endnote w:type="continuationSeparator" w:id="0">
    <w:p w:rsidR="00571FA9" w:rsidRDefault="0057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A9" w:rsidRDefault="00571FA9">
      <w:r>
        <w:separator/>
      </w:r>
    </w:p>
  </w:footnote>
  <w:footnote w:type="continuationSeparator" w:id="0">
    <w:p w:rsidR="00571FA9" w:rsidRDefault="00571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1FA9"/>
    <w:rsid w:val="009F196D"/>
    <w:rsid w:val="00A9035B"/>
    <w:rsid w:val="00A96A68"/>
    <w:rsid w:val="00CD613B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D03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D036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D036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D036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