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2B" w:rsidRPr="00951C2B" w:rsidRDefault="00951C2B" w:rsidP="00951C2B">
      <w:pPr>
        <w:pStyle w:val="Ttulo"/>
        <w:rPr>
          <w:sz w:val="23"/>
          <w:szCs w:val="23"/>
        </w:rPr>
      </w:pPr>
      <w:bookmarkStart w:id="0" w:name="_GoBack"/>
      <w:bookmarkEnd w:id="0"/>
      <w:r w:rsidRPr="00951C2B">
        <w:rPr>
          <w:sz w:val="23"/>
          <w:szCs w:val="23"/>
        </w:rPr>
        <w:t>INDICAÇÃO Nº 2099/2011</w:t>
      </w:r>
    </w:p>
    <w:p w:rsidR="00951C2B" w:rsidRPr="00951C2B" w:rsidRDefault="00951C2B" w:rsidP="00951C2B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951C2B" w:rsidRPr="00951C2B" w:rsidRDefault="00951C2B" w:rsidP="00951C2B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951C2B" w:rsidRPr="00951C2B" w:rsidRDefault="00951C2B" w:rsidP="00951C2B">
      <w:pPr>
        <w:pStyle w:val="Recuodecorpodetexto"/>
        <w:ind w:left="4440"/>
        <w:rPr>
          <w:sz w:val="23"/>
          <w:szCs w:val="23"/>
        </w:rPr>
      </w:pPr>
      <w:r w:rsidRPr="00951C2B">
        <w:rPr>
          <w:sz w:val="23"/>
          <w:szCs w:val="23"/>
        </w:rPr>
        <w:t>“Calçamento em torno da área pública, localizada no Residencial Furlan”.</w:t>
      </w:r>
    </w:p>
    <w:p w:rsidR="00951C2B" w:rsidRPr="00951C2B" w:rsidRDefault="00951C2B" w:rsidP="00951C2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951C2B" w:rsidRPr="00951C2B" w:rsidRDefault="00951C2B" w:rsidP="00951C2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951C2B" w:rsidRPr="00951C2B" w:rsidRDefault="00951C2B" w:rsidP="00951C2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951C2B" w:rsidRPr="00951C2B" w:rsidRDefault="00951C2B" w:rsidP="00951C2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951C2B" w:rsidRPr="00951C2B" w:rsidRDefault="00951C2B" w:rsidP="00951C2B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951C2B">
        <w:rPr>
          <w:rFonts w:ascii="Bookman Old Style" w:hAnsi="Bookman Old Style"/>
          <w:b/>
          <w:bCs/>
          <w:sz w:val="23"/>
          <w:szCs w:val="23"/>
        </w:rPr>
        <w:t>INDICA</w:t>
      </w:r>
      <w:r w:rsidRPr="00951C2B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o calçamento nas imediações da área pública, localizada entre as Ruas João Benedito de Oliveira, José Luiz </w:t>
      </w:r>
      <w:proofErr w:type="spellStart"/>
      <w:r w:rsidRPr="00951C2B">
        <w:rPr>
          <w:rFonts w:ascii="Bookman Old Style" w:hAnsi="Bookman Old Style"/>
          <w:sz w:val="23"/>
          <w:szCs w:val="23"/>
        </w:rPr>
        <w:t>Covolan</w:t>
      </w:r>
      <w:proofErr w:type="spellEnd"/>
      <w:r w:rsidRPr="00951C2B">
        <w:rPr>
          <w:rFonts w:ascii="Bookman Old Style" w:hAnsi="Bookman Old Style"/>
          <w:sz w:val="23"/>
          <w:szCs w:val="23"/>
        </w:rPr>
        <w:t xml:space="preserve"> e José Furlan, no Residencial Furlan.</w:t>
      </w:r>
    </w:p>
    <w:p w:rsidR="00951C2B" w:rsidRPr="00951C2B" w:rsidRDefault="00951C2B" w:rsidP="00951C2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51C2B" w:rsidRPr="00951C2B" w:rsidRDefault="00951C2B" w:rsidP="00951C2B">
      <w:pPr>
        <w:jc w:val="center"/>
        <w:rPr>
          <w:rFonts w:ascii="Bookman Old Style" w:hAnsi="Bookman Old Style"/>
          <w:b/>
          <w:sz w:val="23"/>
          <w:szCs w:val="23"/>
        </w:rPr>
      </w:pPr>
      <w:r w:rsidRPr="00951C2B">
        <w:rPr>
          <w:rFonts w:ascii="Bookman Old Style" w:hAnsi="Bookman Old Style"/>
          <w:b/>
          <w:sz w:val="23"/>
          <w:szCs w:val="23"/>
        </w:rPr>
        <w:t>Justificativa:</w:t>
      </w:r>
    </w:p>
    <w:p w:rsidR="00951C2B" w:rsidRPr="00951C2B" w:rsidRDefault="00951C2B" w:rsidP="00951C2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51C2B" w:rsidRPr="00951C2B" w:rsidRDefault="00951C2B" w:rsidP="00951C2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51C2B" w:rsidRPr="00951C2B" w:rsidRDefault="00951C2B" w:rsidP="00951C2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51C2B" w:rsidRPr="00951C2B" w:rsidRDefault="00951C2B" w:rsidP="00951C2B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951C2B">
        <w:rPr>
          <w:rFonts w:ascii="Bookman Old Style" w:hAnsi="Bookman Old Style"/>
          <w:sz w:val="23"/>
          <w:szCs w:val="23"/>
        </w:rPr>
        <w:t>Moradores pedem o calçamento ao redor da referida área, pois entendem que o local é propicio para efetuarem caminhadas e exercícios físicos, o que atualmente não é possível devida a falta de calçamento no local.</w:t>
      </w:r>
    </w:p>
    <w:p w:rsidR="00951C2B" w:rsidRPr="00951C2B" w:rsidRDefault="00951C2B" w:rsidP="00951C2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951C2B" w:rsidRPr="00951C2B" w:rsidRDefault="00951C2B" w:rsidP="00951C2B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951C2B" w:rsidRPr="00951C2B" w:rsidRDefault="00951C2B" w:rsidP="00951C2B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951C2B" w:rsidRPr="00951C2B" w:rsidRDefault="00951C2B" w:rsidP="00951C2B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951C2B" w:rsidRPr="00951C2B" w:rsidRDefault="00951C2B" w:rsidP="00951C2B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951C2B">
        <w:rPr>
          <w:rFonts w:ascii="Bookman Old Style" w:hAnsi="Bookman Old Style"/>
          <w:sz w:val="23"/>
          <w:szCs w:val="23"/>
        </w:rPr>
        <w:t>Plenário “Dr. Tancredo Neves”, em 13 de julho de 2011.</w:t>
      </w:r>
    </w:p>
    <w:p w:rsidR="00951C2B" w:rsidRPr="00951C2B" w:rsidRDefault="00951C2B" w:rsidP="00951C2B">
      <w:pPr>
        <w:ind w:firstLine="1440"/>
        <w:rPr>
          <w:rFonts w:ascii="Bookman Old Style" w:hAnsi="Bookman Old Style"/>
          <w:sz w:val="23"/>
          <w:szCs w:val="23"/>
        </w:rPr>
      </w:pPr>
    </w:p>
    <w:p w:rsidR="00951C2B" w:rsidRPr="00951C2B" w:rsidRDefault="00951C2B" w:rsidP="00951C2B">
      <w:pPr>
        <w:rPr>
          <w:rFonts w:ascii="Bookman Old Style" w:hAnsi="Bookman Old Style"/>
          <w:sz w:val="23"/>
          <w:szCs w:val="23"/>
        </w:rPr>
      </w:pPr>
    </w:p>
    <w:p w:rsidR="00951C2B" w:rsidRPr="00951C2B" w:rsidRDefault="00951C2B" w:rsidP="00951C2B">
      <w:pPr>
        <w:ind w:firstLine="1440"/>
        <w:rPr>
          <w:rFonts w:ascii="Bookman Old Style" w:hAnsi="Bookman Old Style"/>
          <w:sz w:val="23"/>
          <w:szCs w:val="23"/>
        </w:rPr>
      </w:pPr>
    </w:p>
    <w:p w:rsidR="00951C2B" w:rsidRPr="00951C2B" w:rsidRDefault="00951C2B" w:rsidP="00951C2B">
      <w:pPr>
        <w:ind w:firstLine="1440"/>
        <w:rPr>
          <w:rFonts w:ascii="Bookman Old Style" w:hAnsi="Bookman Old Style"/>
          <w:sz w:val="23"/>
          <w:szCs w:val="23"/>
        </w:rPr>
      </w:pPr>
    </w:p>
    <w:p w:rsidR="00951C2B" w:rsidRPr="00951C2B" w:rsidRDefault="00951C2B" w:rsidP="00951C2B">
      <w:pPr>
        <w:ind w:firstLine="1440"/>
        <w:rPr>
          <w:rFonts w:ascii="Bookman Old Style" w:hAnsi="Bookman Old Style"/>
          <w:sz w:val="23"/>
          <w:szCs w:val="23"/>
        </w:rPr>
      </w:pPr>
    </w:p>
    <w:p w:rsidR="00951C2B" w:rsidRPr="00951C2B" w:rsidRDefault="00951C2B" w:rsidP="00951C2B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951C2B" w:rsidRPr="00951C2B" w:rsidRDefault="00951C2B" w:rsidP="00951C2B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951C2B">
        <w:rPr>
          <w:rFonts w:ascii="Bookman Old Style" w:hAnsi="Bookman Old Style"/>
          <w:b/>
          <w:sz w:val="23"/>
          <w:szCs w:val="23"/>
        </w:rPr>
        <w:t>Danilo Godoy</w:t>
      </w:r>
    </w:p>
    <w:p w:rsidR="00951C2B" w:rsidRPr="00951C2B" w:rsidRDefault="00951C2B" w:rsidP="00951C2B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951C2B">
        <w:rPr>
          <w:rFonts w:ascii="Bookman Old Style" w:hAnsi="Bookman Old Style"/>
          <w:b/>
          <w:sz w:val="23"/>
          <w:szCs w:val="23"/>
        </w:rPr>
        <w:t>PSDB</w:t>
      </w:r>
    </w:p>
    <w:p w:rsidR="00951C2B" w:rsidRPr="00951C2B" w:rsidRDefault="00951C2B" w:rsidP="00951C2B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951C2B">
        <w:rPr>
          <w:rFonts w:ascii="Bookman Old Style" w:hAnsi="Bookman Old Style"/>
          <w:sz w:val="23"/>
          <w:szCs w:val="23"/>
        </w:rPr>
        <w:t>-vereador-</w:t>
      </w:r>
    </w:p>
    <w:sectPr w:rsidR="00951C2B" w:rsidRPr="00951C2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F20" w:rsidRDefault="00FF6F20">
      <w:r>
        <w:separator/>
      </w:r>
    </w:p>
  </w:endnote>
  <w:endnote w:type="continuationSeparator" w:id="0">
    <w:p w:rsidR="00FF6F20" w:rsidRDefault="00FF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F20" w:rsidRDefault="00FF6F20">
      <w:r>
        <w:separator/>
      </w:r>
    </w:p>
  </w:footnote>
  <w:footnote w:type="continuationSeparator" w:id="0">
    <w:p w:rsidR="00FF6F20" w:rsidRDefault="00FF6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51C2B"/>
    <w:rsid w:val="009F196D"/>
    <w:rsid w:val="00A9035B"/>
    <w:rsid w:val="00CD613B"/>
    <w:rsid w:val="00F019DC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51C2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51C2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51C2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51C2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