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F0" w:rsidRDefault="006211F0" w:rsidP="006211F0">
      <w:pPr>
        <w:pStyle w:val="Ttulo"/>
      </w:pPr>
      <w:bookmarkStart w:id="0" w:name="_GoBack"/>
      <w:bookmarkEnd w:id="0"/>
      <w:r>
        <w:t>INDICAÇÃO Nº 2325/11</w:t>
      </w:r>
    </w:p>
    <w:p w:rsidR="006211F0" w:rsidRDefault="006211F0" w:rsidP="006211F0">
      <w:pPr>
        <w:jc w:val="center"/>
        <w:rPr>
          <w:rFonts w:ascii="Bookman Old Style" w:hAnsi="Bookman Old Style"/>
          <w:b/>
          <w:u w:val="single"/>
        </w:rPr>
      </w:pPr>
    </w:p>
    <w:p w:rsidR="006211F0" w:rsidRDefault="006211F0" w:rsidP="006211F0">
      <w:pPr>
        <w:jc w:val="center"/>
        <w:rPr>
          <w:rFonts w:ascii="Bookman Old Style" w:hAnsi="Bookman Old Style"/>
          <w:b/>
          <w:u w:val="single"/>
        </w:rPr>
      </w:pPr>
    </w:p>
    <w:p w:rsidR="006211F0" w:rsidRDefault="006211F0" w:rsidP="006211F0">
      <w:pPr>
        <w:jc w:val="center"/>
        <w:rPr>
          <w:rFonts w:ascii="Bookman Old Style" w:hAnsi="Bookman Old Style"/>
          <w:b/>
          <w:u w:val="single"/>
        </w:rPr>
      </w:pPr>
    </w:p>
    <w:p w:rsidR="006211F0" w:rsidRDefault="006211F0" w:rsidP="006211F0">
      <w:pPr>
        <w:pStyle w:val="Recuodecorpodetexto"/>
        <w:ind w:left="4440"/>
      </w:pPr>
      <w:r>
        <w:t>“Operação tapa-buracos na Rua do Cedro na altura do nº. 330 – Mollon”.</w:t>
      </w:r>
    </w:p>
    <w:p w:rsidR="006211F0" w:rsidRDefault="006211F0" w:rsidP="006211F0">
      <w:pPr>
        <w:ind w:left="1440" w:firstLine="3600"/>
        <w:jc w:val="both"/>
        <w:rPr>
          <w:rFonts w:ascii="Bookman Old Style" w:hAnsi="Bookman Old Style"/>
        </w:rPr>
      </w:pPr>
    </w:p>
    <w:p w:rsidR="006211F0" w:rsidRDefault="006211F0" w:rsidP="006211F0">
      <w:pPr>
        <w:ind w:left="1440" w:firstLine="3600"/>
        <w:jc w:val="both"/>
        <w:rPr>
          <w:rFonts w:ascii="Bookman Old Style" w:hAnsi="Bookman Old Style"/>
        </w:rPr>
      </w:pPr>
    </w:p>
    <w:p w:rsidR="006211F0" w:rsidRDefault="006211F0" w:rsidP="006211F0">
      <w:pPr>
        <w:ind w:left="1440" w:firstLine="3600"/>
        <w:jc w:val="both"/>
        <w:rPr>
          <w:rFonts w:ascii="Bookman Old Style" w:hAnsi="Bookman Old Style"/>
        </w:rPr>
      </w:pPr>
    </w:p>
    <w:p w:rsidR="006211F0" w:rsidRDefault="006211F0" w:rsidP="006211F0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6211F0" w:rsidRPr="00CC0AD8" w:rsidRDefault="006211F0" w:rsidP="006211F0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operação tapa-buracos na </w:t>
      </w:r>
      <w:r w:rsidRPr="00177AD0">
        <w:rPr>
          <w:rFonts w:ascii="Bookman Old Style" w:hAnsi="Bookman Old Style"/>
        </w:rPr>
        <w:t xml:space="preserve">Rua </w:t>
      </w:r>
      <w:r>
        <w:rPr>
          <w:rFonts w:ascii="Bookman Old Style" w:hAnsi="Bookman Old Style"/>
        </w:rPr>
        <w:t xml:space="preserve">do </w:t>
      </w:r>
      <w:r w:rsidRPr="00CC0AD8">
        <w:rPr>
          <w:rFonts w:ascii="Bookman Old Style" w:hAnsi="Bookman Old Style"/>
        </w:rPr>
        <w:t>Cedro na altura do nº. 330 – Mollon</w:t>
      </w:r>
      <w:r>
        <w:rPr>
          <w:rFonts w:ascii="Bookman Old Style" w:hAnsi="Bookman Old Style"/>
        </w:rPr>
        <w:t>.</w:t>
      </w:r>
    </w:p>
    <w:p w:rsidR="006211F0" w:rsidRDefault="006211F0" w:rsidP="006211F0">
      <w:pPr>
        <w:jc w:val="center"/>
        <w:rPr>
          <w:rFonts w:ascii="Bookman Old Style" w:hAnsi="Bookman Old Style"/>
          <w:b/>
        </w:rPr>
      </w:pPr>
    </w:p>
    <w:p w:rsidR="006211F0" w:rsidRDefault="006211F0" w:rsidP="006211F0">
      <w:pPr>
        <w:jc w:val="center"/>
        <w:rPr>
          <w:rFonts w:ascii="Bookman Old Style" w:hAnsi="Bookman Old Style"/>
          <w:b/>
        </w:rPr>
      </w:pPr>
    </w:p>
    <w:p w:rsidR="006211F0" w:rsidRDefault="006211F0" w:rsidP="006211F0">
      <w:pPr>
        <w:jc w:val="center"/>
        <w:rPr>
          <w:rFonts w:ascii="Bookman Old Style" w:hAnsi="Bookman Old Style"/>
          <w:b/>
        </w:rPr>
      </w:pPr>
    </w:p>
    <w:p w:rsidR="006211F0" w:rsidRDefault="006211F0" w:rsidP="006211F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211F0" w:rsidRDefault="006211F0" w:rsidP="006211F0">
      <w:pPr>
        <w:jc w:val="center"/>
        <w:rPr>
          <w:rFonts w:ascii="Bookman Old Style" w:hAnsi="Bookman Old Style"/>
          <w:b/>
        </w:rPr>
      </w:pPr>
    </w:p>
    <w:p w:rsidR="006211F0" w:rsidRDefault="006211F0" w:rsidP="006211F0">
      <w:pPr>
        <w:jc w:val="center"/>
        <w:rPr>
          <w:rFonts w:ascii="Bookman Old Style" w:hAnsi="Bookman Old Style"/>
          <w:b/>
        </w:rPr>
      </w:pPr>
    </w:p>
    <w:p w:rsidR="006211F0" w:rsidRDefault="006211F0" w:rsidP="006211F0">
      <w:pPr>
        <w:jc w:val="center"/>
        <w:rPr>
          <w:rFonts w:ascii="Bookman Old Style" w:hAnsi="Bookman Old Style"/>
          <w:b/>
        </w:rPr>
      </w:pPr>
    </w:p>
    <w:p w:rsidR="006211F0" w:rsidRDefault="006211F0" w:rsidP="006211F0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6211F0" w:rsidRDefault="006211F0" w:rsidP="006211F0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6211F0" w:rsidRDefault="006211F0" w:rsidP="006211F0">
      <w:pPr>
        <w:ind w:firstLine="1440"/>
        <w:outlineLvl w:val="0"/>
        <w:rPr>
          <w:rFonts w:ascii="Bookman Old Style" w:hAnsi="Bookman Old Style"/>
        </w:rPr>
      </w:pPr>
    </w:p>
    <w:p w:rsidR="006211F0" w:rsidRDefault="006211F0" w:rsidP="006211F0">
      <w:pPr>
        <w:ind w:firstLine="1440"/>
        <w:outlineLvl w:val="0"/>
        <w:rPr>
          <w:rFonts w:ascii="Bookman Old Style" w:hAnsi="Bookman Old Style"/>
        </w:rPr>
      </w:pPr>
    </w:p>
    <w:p w:rsidR="006211F0" w:rsidRDefault="006211F0" w:rsidP="006211F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agosto de 2011.</w:t>
      </w:r>
    </w:p>
    <w:p w:rsidR="006211F0" w:rsidRDefault="006211F0" w:rsidP="006211F0">
      <w:pPr>
        <w:ind w:firstLine="1440"/>
        <w:rPr>
          <w:rFonts w:ascii="Bookman Old Style" w:hAnsi="Bookman Old Style"/>
        </w:rPr>
      </w:pPr>
    </w:p>
    <w:p w:rsidR="006211F0" w:rsidRDefault="006211F0" w:rsidP="006211F0">
      <w:pPr>
        <w:rPr>
          <w:rFonts w:ascii="Bookman Old Style" w:hAnsi="Bookman Old Style"/>
        </w:rPr>
      </w:pPr>
    </w:p>
    <w:p w:rsidR="006211F0" w:rsidRDefault="006211F0" w:rsidP="006211F0">
      <w:pPr>
        <w:ind w:firstLine="1440"/>
        <w:rPr>
          <w:rFonts w:ascii="Bookman Old Style" w:hAnsi="Bookman Old Style"/>
        </w:rPr>
      </w:pPr>
    </w:p>
    <w:p w:rsidR="006211F0" w:rsidRDefault="006211F0" w:rsidP="006211F0">
      <w:pPr>
        <w:jc w:val="center"/>
        <w:outlineLvl w:val="0"/>
        <w:rPr>
          <w:rFonts w:ascii="Bookman Old Style" w:hAnsi="Bookman Old Style"/>
          <w:b/>
        </w:rPr>
      </w:pPr>
    </w:p>
    <w:p w:rsidR="006211F0" w:rsidRDefault="006211F0" w:rsidP="006211F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6211F0" w:rsidRDefault="006211F0" w:rsidP="006211F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6211F0" w:rsidRDefault="006211F0" w:rsidP="006211F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211F0" w:rsidRDefault="006211F0" w:rsidP="006211F0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6F6" w:rsidRDefault="007D56F6">
      <w:r>
        <w:separator/>
      </w:r>
    </w:p>
  </w:endnote>
  <w:endnote w:type="continuationSeparator" w:id="0">
    <w:p w:rsidR="007D56F6" w:rsidRDefault="007D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6F6" w:rsidRDefault="007D56F6">
      <w:r>
        <w:separator/>
      </w:r>
    </w:p>
  </w:footnote>
  <w:footnote w:type="continuationSeparator" w:id="0">
    <w:p w:rsidR="007D56F6" w:rsidRDefault="007D5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11F0"/>
    <w:rsid w:val="007D56F6"/>
    <w:rsid w:val="009F196D"/>
    <w:rsid w:val="00A86AF0"/>
    <w:rsid w:val="00A9035B"/>
    <w:rsid w:val="00CD613B"/>
    <w:rsid w:val="00E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211F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211F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