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7A" w:rsidRPr="004E0C7A" w:rsidRDefault="004E0C7A" w:rsidP="004E0C7A">
      <w:pPr>
        <w:pStyle w:val="Ttulo"/>
        <w:rPr>
          <w:sz w:val="23"/>
          <w:szCs w:val="23"/>
        </w:rPr>
      </w:pPr>
      <w:bookmarkStart w:id="0" w:name="_GoBack"/>
      <w:bookmarkEnd w:id="0"/>
      <w:r w:rsidRPr="004E0C7A">
        <w:rPr>
          <w:sz w:val="23"/>
          <w:szCs w:val="23"/>
        </w:rPr>
        <w:t>INDICAÇÃO Nº                      2428          /2011</w:t>
      </w:r>
    </w:p>
    <w:p w:rsidR="004E0C7A" w:rsidRPr="004E0C7A" w:rsidRDefault="004E0C7A" w:rsidP="004E0C7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E0C7A" w:rsidRPr="004E0C7A" w:rsidRDefault="004E0C7A" w:rsidP="004E0C7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E0C7A" w:rsidRPr="004E0C7A" w:rsidRDefault="004E0C7A" w:rsidP="004E0C7A">
      <w:pPr>
        <w:pStyle w:val="Recuodecorpodetexto"/>
        <w:ind w:left="4440"/>
        <w:rPr>
          <w:sz w:val="23"/>
          <w:szCs w:val="23"/>
        </w:rPr>
      </w:pPr>
      <w:r w:rsidRPr="004E0C7A">
        <w:rPr>
          <w:sz w:val="23"/>
          <w:szCs w:val="23"/>
        </w:rPr>
        <w:t>“Manutenção na iluminação pública em Rua da Cidade Nova”.</w:t>
      </w:r>
    </w:p>
    <w:p w:rsidR="004E0C7A" w:rsidRPr="004E0C7A" w:rsidRDefault="004E0C7A" w:rsidP="004E0C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E0C7A" w:rsidRPr="004E0C7A" w:rsidRDefault="004E0C7A" w:rsidP="004E0C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E0C7A" w:rsidRPr="004E0C7A" w:rsidRDefault="004E0C7A" w:rsidP="004E0C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E0C7A" w:rsidRPr="004E0C7A" w:rsidRDefault="004E0C7A" w:rsidP="004E0C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E0C7A" w:rsidRPr="004E0C7A" w:rsidRDefault="004E0C7A" w:rsidP="004E0C7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4E0C7A">
        <w:rPr>
          <w:rFonts w:ascii="Bookman Old Style" w:hAnsi="Bookman Old Style"/>
          <w:b/>
          <w:bCs/>
          <w:sz w:val="23"/>
          <w:szCs w:val="23"/>
        </w:rPr>
        <w:t>INDICA</w:t>
      </w:r>
      <w:r w:rsidRPr="004E0C7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manutenção necessária na iluminação pública próximo à residência de nº 1006 da Rua Maceió na Cidade Nova.</w:t>
      </w:r>
    </w:p>
    <w:p w:rsidR="004E0C7A" w:rsidRPr="004E0C7A" w:rsidRDefault="004E0C7A" w:rsidP="004E0C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E0C7A" w:rsidRPr="004E0C7A" w:rsidRDefault="004E0C7A" w:rsidP="004E0C7A">
      <w:pPr>
        <w:jc w:val="center"/>
        <w:rPr>
          <w:rFonts w:ascii="Bookman Old Style" w:hAnsi="Bookman Old Style"/>
          <w:b/>
          <w:sz w:val="23"/>
          <w:szCs w:val="23"/>
        </w:rPr>
      </w:pPr>
      <w:r w:rsidRPr="004E0C7A">
        <w:rPr>
          <w:rFonts w:ascii="Bookman Old Style" w:hAnsi="Bookman Old Style"/>
          <w:b/>
          <w:sz w:val="23"/>
          <w:szCs w:val="23"/>
        </w:rPr>
        <w:t>Justificativa:</w:t>
      </w:r>
    </w:p>
    <w:p w:rsidR="004E0C7A" w:rsidRPr="004E0C7A" w:rsidRDefault="004E0C7A" w:rsidP="004E0C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E0C7A" w:rsidRPr="004E0C7A" w:rsidRDefault="004E0C7A" w:rsidP="004E0C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E0C7A" w:rsidRPr="004E0C7A" w:rsidRDefault="004E0C7A" w:rsidP="004E0C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E0C7A" w:rsidRPr="004E0C7A" w:rsidRDefault="004E0C7A" w:rsidP="004E0C7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E0C7A">
        <w:rPr>
          <w:rFonts w:ascii="Bookman Old Style" w:hAnsi="Bookman Old Style"/>
          <w:sz w:val="23"/>
          <w:szCs w:val="23"/>
        </w:rPr>
        <w:t>Moradores reclamam que o poste em questão apresenta variações, ou seja, fica mais apagado que aceso, situação que vem gerando insegurança em moradores, pois, casos de assaltos já ocorreram no momento de escuridão.</w:t>
      </w:r>
    </w:p>
    <w:p w:rsidR="004E0C7A" w:rsidRPr="004E0C7A" w:rsidRDefault="004E0C7A" w:rsidP="004E0C7A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4E0C7A" w:rsidRPr="004E0C7A" w:rsidRDefault="004E0C7A" w:rsidP="004E0C7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E0C7A" w:rsidRPr="004E0C7A" w:rsidRDefault="004E0C7A" w:rsidP="004E0C7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E0C7A" w:rsidRPr="004E0C7A" w:rsidRDefault="004E0C7A" w:rsidP="004E0C7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4E0C7A">
        <w:rPr>
          <w:rFonts w:ascii="Bookman Old Style" w:hAnsi="Bookman Old Style"/>
          <w:sz w:val="23"/>
          <w:szCs w:val="23"/>
        </w:rPr>
        <w:t>Plenário “Dr. Tancredo Neves”, em 26 de agosto de 2011.</w:t>
      </w:r>
    </w:p>
    <w:p w:rsidR="004E0C7A" w:rsidRPr="004E0C7A" w:rsidRDefault="004E0C7A" w:rsidP="004E0C7A">
      <w:pPr>
        <w:ind w:firstLine="1440"/>
        <w:rPr>
          <w:rFonts w:ascii="Bookman Old Style" w:hAnsi="Bookman Old Style"/>
          <w:sz w:val="23"/>
          <w:szCs w:val="23"/>
        </w:rPr>
      </w:pPr>
    </w:p>
    <w:p w:rsidR="004E0C7A" w:rsidRPr="004E0C7A" w:rsidRDefault="004E0C7A" w:rsidP="004E0C7A">
      <w:pPr>
        <w:rPr>
          <w:rFonts w:ascii="Bookman Old Style" w:hAnsi="Bookman Old Style"/>
          <w:sz w:val="23"/>
          <w:szCs w:val="23"/>
        </w:rPr>
      </w:pPr>
    </w:p>
    <w:p w:rsidR="004E0C7A" w:rsidRPr="004E0C7A" w:rsidRDefault="004E0C7A" w:rsidP="004E0C7A">
      <w:pPr>
        <w:ind w:firstLine="1440"/>
        <w:rPr>
          <w:rFonts w:ascii="Bookman Old Style" w:hAnsi="Bookman Old Style"/>
          <w:sz w:val="23"/>
          <w:szCs w:val="23"/>
        </w:rPr>
      </w:pPr>
    </w:p>
    <w:p w:rsidR="004E0C7A" w:rsidRPr="004E0C7A" w:rsidRDefault="004E0C7A" w:rsidP="004E0C7A">
      <w:pPr>
        <w:ind w:firstLine="1440"/>
        <w:rPr>
          <w:rFonts w:ascii="Bookman Old Style" w:hAnsi="Bookman Old Style"/>
          <w:sz w:val="23"/>
          <w:szCs w:val="23"/>
        </w:rPr>
      </w:pPr>
    </w:p>
    <w:p w:rsidR="004E0C7A" w:rsidRPr="004E0C7A" w:rsidRDefault="004E0C7A" w:rsidP="004E0C7A">
      <w:pPr>
        <w:ind w:firstLine="1440"/>
        <w:rPr>
          <w:rFonts w:ascii="Bookman Old Style" w:hAnsi="Bookman Old Style"/>
          <w:sz w:val="23"/>
          <w:szCs w:val="23"/>
        </w:rPr>
      </w:pPr>
    </w:p>
    <w:p w:rsidR="004E0C7A" w:rsidRPr="004E0C7A" w:rsidRDefault="004E0C7A" w:rsidP="004E0C7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4E0C7A" w:rsidRPr="004E0C7A" w:rsidRDefault="004E0C7A" w:rsidP="004E0C7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E0C7A">
        <w:rPr>
          <w:rFonts w:ascii="Bookman Old Style" w:hAnsi="Bookman Old Style"/>
          <w:b/>
          <w:sz w:val="23"/>
          <w:szCs w:val="23"/>
        </w:rPr>
        <w:t>Danilo Godoy</w:t>
      </w:r>
    </w:p>
    <w:p w:rsidR="004E0C7A" w:rsidRPr="004E0C7A" w:rsidRDefault="004E0C7A" w:rsidP="004E0C7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E0C7A">
        <w:rPr>
          <w:rFonts w:ascii="Bookman Old Style" w:hAnsi="Bookman Old Style"/>
          <w:b/>
          <w:sz w:val="23"/>
          <w:szCs w:val="23"/>
        </w:rPr>
        <w:t>PSDB</w:t>
      </w:r>
    </w:p>
    <w:p w:rsidR="004E0C7A" w:rsidRPr="004E0C7A" w:rsidRDefault="004E0C7A" w:rsidP="004E0C7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4E0C7A">
        <w:rPr>
          <w:rFonts w:ascii="Bookman Old Style" w:hAnsi="Bookman Old Style"/>
          <w:sz w:val="23"/>
          <w:szCs w:val="23"/>
        </w:rPr>
        <w:t>-vereador-</w:t>
      </w:r>
    </w:p>
    <w:sectPr w:rsidR="004E0C7A" w:rsidRPr="004E0C7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67" w:rsidRDefault="00786F67">
      <w:r>
        <w:separator/>
      </w:r>
    </w:p>
  </w:endnote>
  <w:endnote w:type="continuationSeparator" w:id="0">
    <w:p w:rsidR="00786F67" w:rsidRDefault="0078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67" w:rsidRDefault="00786F67">
      <w:r>
        <w:separator/>
      </w:r>
    </w:p>
  </w:footnote>
  <w:footnote w:type="continuationSeparator" w:id="0">
    <w:p w:rsidR="00786F67" w:rsidRDefault="00786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0C7A"/>
    <w:rsid w:val="00786F67"/>
    <w:rsid w:val="0099162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E0C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E0C7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E0C7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E0C7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