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C7" w:rsidRPr="005B35C7" w:rsidRDefault="005B35C7" w:rsidP="005B35C7">
      <w:pPr>
        <w:pStyle w:val="Ttulo"/>
        <w:rPr>
          <w:sz w:val="23"/>
          <w:szCs w:val="23"/>
        </w:rPr>
      </w:pPr>
      <w:bookmarkStart w:id="0" w:name="_GoBack"/>
      <w:bookmarkEnd w:id="0"/>
      <w:r w:rsidRPr="005B35C7">
        <w:rPr>
          <w:sz w:val="23"/>
          <w:szCs w:val="23"/>
        </w:rPr>
        <w:t>INDICAÇÃO Nº                2435                /2011</w:t>
      </w:r>
    </w:p>
    <w:p w:rsidR="005B35C7" w:rsidRPr="005B35C7" w:rsidRDefault="005B35C7" w:rsidP="005B35C7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B35C7" w:rsidRPr="005B35C7" w:rsidRDefault="005B35C7" w:rsidP="005B35C7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B35C7" w:rsidRPr="005B35C7" w:rsidRDefault="005B35C7" w:rsidP="005B35C7">
      <w:pPr>
        <w:pStyle w:val="Recuodecorpodetexto"/>
        <w:ind w:left="4440"/>
        <w:rPr>
          <w:sz w:val="23"/>
          <w:szCs w:val="23"/>
        </w:rPr>
      </w:pPr>
      <w:r w:rsidRPr="005B35C7">
        <w:rPr>
          <w:sz w:val="23"/>
          <w:szCs w:val="23"/>
        </w:rPr>
        <w:t>“Reforma de guia e sarjeta, na Cidade Nova, próximo a Escola Estadual Professora Guiomar Dias da Silva ”.</w:t>
      </w:r>
    </w:p>
    <w:p w:rsidR="005B35C7" w:rsidRPr="005B35C7" w:rsidRDefault="005B35C7" w:rsidP="005B35C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B35C7" w:rsidRPr="005B35C7" w:rsidRDefault="005B35C7" w:rsidP="005B35C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B35C7" w:rsidRPr="005B35C7" w:rsidRDefault="005B35C7" w:rsidP="005B35C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B35C7" w:rsidRPr="005B35C7" w:rsidRDefault="005B35C7" w:rsidP="005B35C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B35C7" w:rsidRPr="005B35C7" w:rsidRDefault="005B35C7" w:rsidP="005B35C7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5B35C7">
        <w:rPr>
          <w:rFonts w:ascii="Bookman Old Style" w:hAnsi="Bookman Old Style"/>
          <w:b/>
          <w:bCs/>
          <w:sz w:val="23"/>
          <w:szCs w:val="23"/>
        </w:rPr>
        <w:t>INDICA</w:t>
      </w:r>
      <w:r w:rsidRPr="005B35C7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reforma necessária na Guia e sarjeta do cruzamento das Ruas Manaus e Maceió, na Cidade Nova.</w:t>
      </w:r>
    </w:p>
    <w:p w:rsidR="005B35C7" w:rsidRPr="005B35C7" w:rsidRDefault="005B35C7" w:rsidP="005B35C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B35C7" w:rsidRPr="005B35C7" w:rsidRDefault="005B35C7" w:rsidP="005B35C7">
      <w:pPr>
        <w:jc w:val="center"/>
        <w:rPr>
          <w:rFonts w:ascii="Bookman Old Style" w:hAnsi="Bookman Old Style"/>
          <w:b/>
          <w:sz w:val="23"/>
          <w:szCs w:val="23"/>
        </w:rPr>
      </w:pPr>
      <w:r w:rsidRPr="005B35C7">
        <w:rPr>
          <w:rFonts w:ascii="Bookman Old Style" w:hAnsi="Bookman Old Style"/>
          <w:b/>
          <w:sz w:val="23"/>
          <w:szCs w:val="23"/>
        </w:rPr>
        <w:t>Justificativa:</w:t>
      </w:r>
    </w:p>
    <w:p w:rsidR="005B35C7" w:rsidRPr="005B35C7" w:rsidRDefault="005B35C7" w:rsidP="005B35C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B35C7" w:rsidRPr="005B35C7" w:rsidRDefault="005B35C7" w:rsidP="005B35C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B35C7" w:rsidRPr="005B35C7" w:rsidRDefault="005B35C7" w:rsidP="005B35C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B35C7" w:rsidRPr="005B35C7" w:rsidRDefault="005B35C7" w:rsidP="005B35C7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5B35C7">
        <w:rPr>
          <w:rFonts w:ascii="Bookman Old Style" w:hAnsi="Bookman Old Style"/>
          <w:sz w:val="23"/>
          <w:szCs w:val="23"/>
        </w:rPr>
        <w:t>Munícipes reclamam que a referida  guia vem apresentando problemas, gera acumulo de pernilongo  e mosquitos que acreditam ser o transmissor da dengue, pois, já ocorreram casos da doença em moradores próximos. A sarjeta também apresenta problemas, pois serve de bloqueador segurando a água no local. O problema vem se agravando a cada chuva, visto que, o asfalto vem cedendo formando grandes buracos.</w:t>
      </w:r>
    </w:p>
    <w:p w:rsidR="005B35C7" w:rsidRPr="005B35C7" w:rsidRDefault="005B35C7" w:rsidP="005B35C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B35C7" w:rsidRPr="005B35C7" w:rsidRDefault="005B35C7" w:rsidP="005B35C7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5B35C7" w:rsidRPr="005B35C7" w:rsidRDefault="005B35C7" w:rsidP="005B35C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5B35C7" w:rsidRPr="005B35C7" w:rsidRDefault="005B35C7" w:rsidP="005B35C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5B35C7" w:rsidRPr="005B35C7" w:rsidRDefault="005B35C7" w:rsidP="005B35C7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5B35C7">
        <w:rPr>
          <w:rFonts w:ascii="Bookman Old Style" w:hAnsi="Bookman Old Style"/>
          <w:sz w:val="23"/>
          <w:szCs w:val="23"/>
        </w:rPr>
        <w:t>Plenário “Dr. Tancredo Neves”, em 26 de agosto de 2011.</w:t>
      </w:r>
    </w:p>
    <w:p w:rsidR="005B35C7" w:rsidRPr="005B35C7" w:rsidRDefault="005B35C7" w:rsidP="005B35C7">
      <w:pPr>
        <w:ind w:firstLine="1440"/>
        <w:rPr>
          <w:rFonts w:ascii="Bookman Old Style" w:hAnsi="Bookman Old Style"/>
          <w:sz w:val="23"/>
          <w:szCs w:val="23"/>
        </w:rPr>
      </w:pPr>
    </w:p>
    <w:p w:rsidR="005B35C7" w:rsidRPr="005B35C7" w:rsidRDefault="005B35C7" w:rsidP="005B35C7">
      <w:pPr>
        <w:rPr>
          <w:rFonts w:ascii="Bookman Old Style" w:hAnsi="Bookman Old Style"/>
          <w:sz w:val="23"/>
          <w:szCs w:val="23"/>
        </w:rPr>
      </w:pPr>
    </w:p>
    <w:p w:rsidR="005B35C7" w:rsidRPr="005B35C7" w:rsidRDefault="005B35C7" w:rsidP="005B35C7">
      <w:pPr>
        <w:ind w:firstLine="1440"/>
        <w:rPr>
          <w:rFonts w:ascii="Bookman Old Style" w:hAnsi="Bookman Old Style"/>
          <w:sz w:val="23"/>
          <w:szCs w:val="23"/>
        </w:rPr>
      </w:pPr>
    </w:p>
    <w:p w:rsidR="005B35C7" w:rsidRPr="005B35C7" w:rsidRDefault="005B35C7" w:rsidP="005B35C7">
      <w:pPr>
        <w:ind w:firstLine="1440"/>
        <w:rPr>
          <w:rFonts w:ascii="Bookman Old Style" w:hAnsi="Bookman Old Style"/>
          <w:sz w:val="23"/>
          <w:szCs w:val="23"/>
        </w:rPr>
      </w:pPr>
    </w:p>
    <w:p w:rsidR="005B35C7" w:rsidRPr="005B35C7" w:rsidRDefault="005B35C7" w:rsidP="005B35C7">
      <w:pPr>
        <w:ind w:firstLine="1440"/>
        <w:rPr>
          <w:rFonts w:ascii="Bookman Old Style" w:hAnsi="Bookman Old Style"/>
          <w:sz w:val="23"/>
          <w:szCs w:val="23"/>
        </w:rPr>
      </w:pPr>
    </w:p>
    <w:p w:rsidR="005B35C7" w:rsidRPr="005B35C7" w:rsidRDefault="005B35C7" w:rsidP="005B35C7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B35C7" w:rsidRPr="005B35C7" w:rsidRDefault="005B35C7" w:rsidP="005B35C7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5B35C7">
        <w:rPr>
          <w:rFonts w:ascii="Bookman Old Style" w:hAnsi="Bookman Old Style"/>
          <w:b/>
          <w:sz w:val="23"/>
          <w:szCs w:val="23"/>
        </w:rPr>
        <w:t>Danilo Godoy</w:t>
      </w:r>
    </w:p>
    <w:p w:rsidR="005B35C7" w:rsidRPr="005B35C7" w:rsidRDefault="005B35C7" w:rsidP="005B35C7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5B35C7">
        <w:rPr>
          <w:rFonts w:ascii="Bookman Old Style" w:hAnsi="Bookman Old Style"/>
          <w:b/>
          <w:sz w:val="23"/>
          <w:szCs w:val="23"/>
        </w:rPr>
        <w:t>PSDB</w:t>
      </w:r>
    </w:p>
    <w:p w:rsidR="005B35C7" w:rsidRPr="005B35C7" w:rsidRDefault="005B35C7" w:rsidP="005B35C7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5B35C7">
        <w:rPr>
          <w:rFonts w:ascii="Bookman Old Style" w:hAnsi="Bookman Old Style"/>
          <w:sz w:val="23"/>
          <w:szCs w:val="23"/>
        </w:rPr>
        <w:t>-vereador-</w:t>
      </w:r>
    </w:p>
    <w:sectPr w:rsidR="005B35C7" w:rsidRPr="005B35C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D31" w:rsidRDefault="00CF4D31">
      <w:r>
        <w:separator/>
      </w:r>
    </w:p>
  </w:endnote>
  <w:endnote w:type="continuationSeparator" w:id="0">
    <w:p w:rsidR="00CF4D31" w:rsidRDefault="00CF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D31" w:rsidRDefault="00CF4D31">
      <w:r>
        <w:separator/>
      </w:r>
    </w:p>
  </w:footnote>
  <w:footnote w:type="continuationSeparator" w:id="0">
    <w:p w:rsidR="00CF4D31" w:rsidRDefault="00CF4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5200"/>
    <w:rsid w:val="001D1394"/>
    <w:rsid w:val="003D3AA8"/>
    <w:rsid w:val="004C67DE"/>
    <w:rsid w:val="005B35C7"/>
    <w:rsid w:val="009F196D"/>
    <w:rsid w:val="00A9035B"/>
    <w:rsid w:val="00CD613B"/>
    <w:rsid w:val="00C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B35C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B35C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B35C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B35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