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206BC">
        <w:rPr>
          <w:rFonts w:ascii="Arial" w:hAnsi="Arial" w:cs="Arial"/>
        </w:rPr>
        <w:t>00309</w:t>
      </w:r>
      <w:r>
        <w:rPr>
          <w:rFonts w:ascii="Arial" w:hAnsi="Arial" w:cs="Arial"/>
        </w:rPr>
        <w:t>/</w:t>
      </w:r>
      <w:r w:rsidR="009206BC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</w:t>
      </w:r>
      <w:r w:rsidR="00B91AB7">
        <w:rPr>
          <w:rFonts w:ascii="Arial" w:hAnsi="Arial" w:cs="Arial"/>
          <w:sz w:val="24"/>
          <w:szCs w:val="24"/>
        </w:rPr>
        <w:t xml:space="preserve">os vereadores Fabiano Pinguim, Alex Backer, Celso Avila, Felipe Sanches </w:t>
      </w:r>
      <w:r>
        <w:rPr>
          <w:rFonts w:ascii="Arial" w:hAnsi="Arial" w:cs="Arial"/>
          <w:sz w:val="24"/>
          <w:szCs w:val="24"/>
        </w:rPr>
        <w:t>no dia 20 de março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85pt;height:21.05pt" o:ole="">
                  <v:imagedata r:id="rId6" o:title=""/>
                </v:shape>
                <w:control r:id="rId7" w:name="CheckBox121" w:shapeid="_x0000_i102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9" type="#_x0000_t75" style="width:8.85pt;height:21.05pt" o:ole="">
                  <v:imagedata r:id="rId6" o:title=""/>
                </v:shape>
                <w:control r:id="rId8" w:name="CheckBox12" w:shapeid="_x0000_i102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B91AB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B91AB7">
        <w:rPr>
          <w:rFonts w:ascii="Arial" w:hAnsi="Arial" w:cs="Arial"/>
          <w:sz w:val="24"/>
          <w:szCs w:val="24"/>
        </w:rPr>
        <w:t>Março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B91AB7" w:rsidRPr="00893DF5" w:rsidRDefault="00B91AB7" w:rsidP="00B91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91AB7" w:rsidRPr="00893DF5" w:rsidRDefault="00B91AB7" w:rsidP="00B91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91AB7" w:rsidP="00B91A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 id="_x0000_s1026" type="#_x0000_t75" style="width:44.25pt;height:27.7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93" w:rsidRDefault="00033193">
      <w:r>
        <w:separator/>
      </w:r>
    </w:p>
  </w:endnote>
  <w:endnote w:type="continuationSeparator" w:id="0">
    <w:p w:rsidR="00033193" w:rsidRDefault="0003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93" w:rsidRDefault="00033193">
      <w:r>
        <w:separator/>
      </w:r>
    </w:p>
  </w:footnote>
  <w:footnote w:type="continuationSeparator" w:id="0">
    <w:p w:rsidR="00033193" w:rsidRDefault="0003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0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30E5" w:rsidRPr="008030E5" w:rsidRDefault="008030E5" w:rsidP="008030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30E5">
                  <w:rPr>
                    <w:rFonts w:ascii="Arial" w:hAnsi="Arial" w:cs="Arial"/>
                    <w:b/>
                  </w:rPr>
                  <w:t>PROTOCOLO Nº: 03048/2013     DATA: 15/03/2013     HORA: 15:59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93"/>
    <w:rsid w:val="00075969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96BF7"/>
    <w:rsid w:val="00705ABB"/>
    <w:rsid w:val="00763272"/>
    <w:rsid w:val="008030E5"/>
    <w:rsid w:val="009206BC"/>
    <w:rsid w:val="009F196D"/>
    <w:rsid w:val="00A310F3"/>
    <w:rsid w:val="00A71CAF"/>
    <w:rsid w:val="00A9035B"/>
    <w:rsid w:val="00AE702A"/>
    <w:rsid w:val="00B91AB7"/>
    <w:rsid w:val="00C23FC4"/>
    <w:rsid w:val="00CD613B"/>
    <w:rsid w:val="00CF7F49"/>
    <w:rsid w:val="00D26CB3"/>
    <w:rsid w:val="00E07BAF"/>
    <w:rsid w:val="00E25E4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