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B2" w:rsidRDefault="005E12B2" w:rsidP="005E12B2">
      <w:pPr>
        <w:pStyle w:val="Ttulo"/>
      </w:pPr>
      <w:bookmarkStart w:id="0" w:name="_GoBack"/>
      <w:bookmarkEnd w:id="0"/>
      <w:r>
        <w:t>INDICAÇÃO Nº                            2538    /2011</w:t>
      </w:r>
    </w:p>
    <w:p w:rsidR="005E12B2" w:rsidRDefault="005E12B2" w:rsidP="005E12B2">
      <w:pPr>
        <w:jc w:val="center"/>
        <w:rPr>
          <w:rFonts w:ascii="Bookman Old Style" w:hAnsi="Bookman Old Style"/>
          <w:b/>
          <w:u w:val="single"/>
        </w:rPr>
      </w:pPr>
    </w:p>
    <w:p w:rsidR="005E12B2" w:rsidRDefault="005E12B2" w:rsidP="005E12B2">
      <w:pPr>
        <w:jc w:val="center"/>
        <w:rPr>
          <w:rFonts w:ascii="Bookman Old Style" w:hAnsi="Bookman Old Style"/>
          <w:b/>
          <w:u w:val="single"/>
        </w:rPr>
      </w:pPr>
    </w:p>
    <w:p w:rsidR="005E12B2" w:rsidRDefault="005E12B2" w:rsidP="005E12B2">
      <w:pPr>
        <w:pStyle w:val="Recuodecorpodetexto"/>
        <w:ind w:left="4440"/>
      </w:pPr>
      <w:r>
        <w:t>“Intensificação das rondas da Guarda Municipal em área da Vila Linópolis”.</w:t>
      </w:r>
    </w:p>
    <w:p w:rsidR="005E12B2" w:rsidRDefault="005E12B2" w:rsidP="005E12B2">
      <w:pPr>
        <w:ind w:left="1440" w:firstLine="3600"/>
        <w:jc w:val="both"/>
        <w:rPr>
          <w:rFonts w:ascii="Bookman Old Style" w:hAnsi="Bookman Old Style"/>
        </w:rPr>
      </w:pPr>
    </w:p>
    <w:p w:rsidR="005E12B2" w:rsidRDefault="005E12B2" w:rsidP="005E12B2">
      <w:pPr>
        <w:ind w:left="1440" w:firstLine="3600"/>
        <w:jc w:val="both"/>
        <w:rPr>
          <w:rFonts w:ascii="Bookman Old Style" w:hAnsi="Bookman Old Style"/>
        </w:rPr>
      </w:pPr>
    </w:p>
    <w:p w:rsidR="005E12B2" w:rsidRDefault="005E12B2" w:rsidP="005E12B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providencie a intensificação das rondas do Grupo de Proteção Escolar da Guarda Municipal, em praça pública localizada entre as ruas Sebastião Benedito Amaral, Cícero Jones e Alonso Keese na Vila Linopolis.</w:t>
      </w:r>
    </w:p>
    <w:p w:rsidR="005E12B2" w:rsidRDefault="005E12B2" w:rsidP="005E12B2">
      <w:pPr>
        <w:jc w:val="center"/>
        <w:rPr>
          <w:rFonts w:ascii="Bookman Old Style" w:hAnsi="Bookman Old Style"/>
          <w:b/>
        </w:rPr>
      </w:pPr>
    </w:p>
    <w:p w:rsidR="005E12B2" w:rsidRDefault="005E12B2" w:rsidP="005E12B2">
      <w:pPr>
        <w:jc w:val="center"/>
        <w:rPr>
          <w:rFonts w:ascii="Bookman Old Style" w:hAnsi="Bookman Old Style"/>
          <w:b/>
        </w:rPr>
      </w:pPr>
    </w:p>
    <w:p w:rsidR="005E12B2" w:rsidRDefault="005E12B2" w:rsidP="005E12B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E12B2" w:rsidRDefault="005E12B2" w:rsidP="005E12B2">
      <w:pPr>
        <w:jc w:val="center"/>
        <w:rPr>
          <w:rFonts w:ascii="Bookman Old Style" w:hAnsi="Bookman Old Style"/>
          <w:b/>
        </w:rPr>
      </w:pPr>
    </w:p>
    <w:p w:rsidR="005E12B2" w:rsidRDefault="005E12B2" w:rsidP="005E12B2">
      <w:pPr>
        <w:jc w:val="center"/>
        <w:rPr>
          <w:rFonts w:ascii="Bookman Old Style" w:hAnsi="Bookman Old Style"/>
          <w:b/>
        </w:rPr>
      </w:pPr>
    </w:p>
    <w:p w:rsidR="005E12B2" w:rsidRDefault="005E12B2" w:rsidP="005E12B2">
      <w:pPr>
        <w:jc w:val="both"/>
        <w:rPr>
          <w:rFonts w:ascii="Bookman Old Style" w:hAnsi="Bookman Old Style"/>
          <w:b/>
        </w:rPr>
      </w:pPr>
    </w:p>
    <w:p w:rsidR="005E12B2" w:rsidRDefault="005E12B2" w:rsidP="005E12B2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Moradores do entorno da praça pública, estão preocupados com o aumento de pessoas que utilizam a referida área para realizarem consumo e comércio de entorpecentes. A área está localizada ao lado da escola ADI Geraldo Rocha Campos e preocupa as mães de crianças que lá estudam, pela proximidade dos usuários com as crianças que estudam no local. A preocupação se estende ainda ao período noturno, momento em que devido à escuridão da área os usuários aumentam e causam a sensação de insegurança nos moradores do entorno.</w:t>
      </w:r>
    </w:p>
    <w:p w:rsidR="005E12B2" w:rsidRDefault="005E12B2" w:rsidP="005E12B2">
      <w:pPr>
        <w:ind w:firstLine="1440"/>
        <w:outlineLvl w:val="0"/>
        <w:rPr>
          <w:rFonts w:ascii="Bookman Old Style" w:hAnsi="Bookman Old Style"/>
        </w:rPr>
      </w:pPr>
    </w:p>
    <w:p w:rsidR="005E12B2" w:rsidRDefault="005E12B2" w:rsidP="005E12B2">
      <w:pPr>
        <w:ind w:firstLine="1440"/>
        <w:outlineLvl w:val="0"/>
        <w:rPr>
          <w:rFonts w:ascii="Bookman Old Style" w:hAnsi="Bookman Old Style"/>
        </w:rPr>
      </w:pPr>
    </w:p>
    <w:p w:rsidR="005E12B2" w:rsidRDefault="005E12B2" w:rsidP="005E12B2">
      <w:pPr>
        <w:ind w:firstLine="1440"/>
        <w:outlineLvl w:val="0"/>
        <w:rPr>
          <w:rFonts w:ascii="Bookman Old Style" w:hAnsi="Bookman Old Style"/>
        </w:rPr>
      </w:pPr>
    </w:p>
    <w:p w:rsidR="005E12B2" w:rsidRDefault="005E12B2" w:rsidP="005E12B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Setembro de 2011.</w:t>
      </w:r>
    </w:p>
    <w:p w:rsidR="005E12B2" w:rsidRDefault="005E12B2" w:rsidP="005E12B2">
      <w:pPr>
        <w:ind w:firstLine="1440"/>
        <w:rPr>
          <w:rFonts w:ascii="Bookman Old Style" w:hAnsi="Bookman Old Style"/>
        </w:rPr>
      </w:pPr>
    </w:p>
    <w:p w:rsidR="005E12B2" w:rsidRDefault="005E12B2" w:rsidP="005E12B2">
      <w:pPr>
        <w:rPr>
          <w:rFonts w:ascii="Bookman Old Style" w:hAnsi="Bookman Old Style"/>
        </w:rPr>
      </w:pPr>
    </w:p>
    <w:p w:rsidR="005E12B2" w:rsidRDefault="005E12B2" w:rsidP="005E12B2">
      <w:pPr>
        <w:ind w:firstLine="1440"/>
        <w:rPr>
          <w:rFonts w:ascii="Bookman Old Style" w:hAnsi="Bookman Old Style"/>
        </w:rPr>
      </w:pPr>
    </w:p>
    <w:p w:rsidR="005E12B2" w:rsidRDefault="005E12B2" w:rsidP="005E12B2">
      <w:pPr>
        <w:ind w:firstLine="1440"/>
        <w:rPr>
          <w:rFonts w:ascii="Bookman Old Style" w:hAnsi="Bookman Old Style"/>
        </w:rPr>
      </w:pPr>
    </w:p>
    <w:p w:rsidR="005E12B2" w:rsidRDefault="005E12B2" w:rsidP="005E12B2">
      <w:pPr>
        <w:ind w:firstLine="1440"/>
        <w:rPr>
          <w:rFonts w:ascii="Bookman Old Style" w:hAnsi="Bookman Old Style"/>
        </w:rPr>
      </w:pPr>
    </w:p>
    <w:p w:rsidR="005E12B2" w:rsidRDefault="005E12B2" w:rsidP="005E12B2">
      <w:pPr>
        <w:jc w:val="center"/>
        <w:outlineLvl w:val="0"/>
        <w:rPr>
          <w:rFonts w:ascii="Bookman Old Style" w:hAnsi="Bookman Old Style"/>
          <w:b/>
        </w:rPr>
      </w:pPr>
    </w:p>
    <w:p w:rsidR="005E12B2" w:rsidRDefault="005E12B2" w:rsidP="005E12B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E12B2" w:rsidRDefault="005E12B2" w:rsidP="005E12B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502" w:rsidRDefault="002E5502">
      <w:r>
        <w:separator/>
      </w:r>
    </w:p>
  </w:endnote>
  <w:endnote w:type="continuationSeparator" w:id="0">
    <w:p w:rsidR="002E5502" w:rsidRDefault="002E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502" w:rsidRDefault="002E5502">
      <w:r>
        <w:separator/>
      </w:r>
    </w:p>
  </w:footnote>
  <w:footnote w:type="continuationSeparator" w:id="0">
    <w:p w:rsidR="002E5502" w:rsidRDefault="002E5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5502"/>
    <w:rsid w:val="003D3AA8"/>
    <w:rsid w:val="004C67DE"/>
    <w:rsid w:val="005E12B2"/>
    <w:rsid w:val="009F196D"/>
    <w:rsid w:val="00A9035B"/>
    <w:rsid w:val="00CD613B"/>
    <w:rsid w:val="00F5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E12B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E12B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