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0C" w:rsidRDefault="00B6490C" w:rsidP="00B6490C">
      <w:pPr>
        <w:pStyle w:val="Ttulo"/>
      </w:pPr>
      <w:bookmarkStart w:id="0" w:name="_GoBack"/>
      <w:bookmarkEnd w:id="0"/>
      <w:r>
        <w:t>INDICAÇÃO Nº                  2729              /2011</w:t>
      </w:r>
    </w:p>
    <w:p w:rsidR="00B6490C" w:rsidRDefault="00B6490C" w:rsidP="00B6490C">
      <w:pPr>
        <w:jc w:val="center"/>
        <w:rPr>
          <w:rFonts w:ascii="Bookman Old Style" w:hAnsi="Bookman Old Style"/>
          <w:b/>
          <w:u w:val="single"/>
        </w:rPr>
      </w:pPr>
    </w:p>
    <w:p w:rsidR="00B6490C" w:rsidRDefault="00B6490C" w:rsidP="00B6490C">
      <w:pPr>
        <w:jc w:val="center"/>
        <w:rPr>
          <w:rFonts w:ascii="Bookman Old Style" w:hAnsi="Bookman Old Style"/>
          <w:b/>
          <w:u w:val="single"/>
        </w:rPr>
      </w:pPr>
    </w:p>
    <w:p w:rsidR="00B6490C" w:rsidRDefault="00B6490C" w:rsidP="00B6490C">
      <w:pPr>
        <w:pStyle w:val="Recuodecorpodetexto"/>
        <w:ind w:left="4440"/>
      </w:pPr>
      <w:r>
        <w:t>“Manutenção e reparação em iluminação e área verde em praça localizada no Jardim São Francisco II.”</w:t>
      </w:r>
    </w:p>
    <w:p w:rsidR="00B6490C" w:rsidRDefault="00B6490C" w:rsidP="00B6490C">
      <w:pPr>
        <w:ind w:left="1440" w:firstLine="3600"/>
        <w:jc w:val="both"/>
        <w:rPr>
          <w:rFonts w:ascii="Bookman Old Style" w:hAnsi="Bookman Old Style"/>
        </w:rPr>
      </w:pPr>
    </w:p>
    <w:p w:rsidR="00B6490C" w:rsidRDefault="00B6490C" w:rsidP="00B6490C">
      <w:pPr>
        <w:ind w:left="1440" w:firstLine="3600"/>
        <w:jc w:val="both"/>
        <w:rPr>
          <w:rFonts w:ascii="Bookman Old Style" w:hAnsi="Bookman Old Style"/>
        </w:rPr>
      </w:pPr>
    </w:p>
    <w:p w:rsidR="00B6490C" w:rsidRDefault="00B6490C" w:rsidP="00B6490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manutenção e reparação na iluminação pública e área verde da Praça Padre Dito, localizada na Rua Guaianazes, altura do nº312, no Jardim São Francisco II.</w:t>
      </w:r>
    </w:p>
    <w:p w:rsidR="00B6490C" w:rsidRDefault="00B6490C" w:rsidP="00B6490C">
      <w:pPr>
        <w:jc w:val="center"/>
        <w:rPr>
          <w:rFonts w:ascii="Bookman Old Style" w:hAnsi="Bookman Old Style"/>
          <w:b/>
        </w:rPr>
      </w:pPr>
    </w:p>
    <w:p w:rsidR="00B6490C" w:rsidRDefault="00B6490C" w:rsidP="00B6490C">
      <w:pPr>
        <w:jc w:val="center"/>
        <w:rPr>
          <w:rFonts w:ascii="Bookman Old Style" w:hAnsi="Bookman Old Style"/>
          <w:b/>
        </w:rPr>
      </w:pPr>
    </w:p>
    <w:p w:rsidR="00B6490C" w:rsidRDefault="00B6490C" w:rsidP="00B649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490C" w:rsidRDefault="00B6490C" w:rsidP="00B6490C">
      <w:pPr>
        <w:jc w:val="center"/>
        <w:rPr>
          <w:rFonts w:ascii="Bookman Old Style" w:hAnsi="Bookman Old Style"/>
          <w:b/>
        </w:rPr>
      </w:pPr>
    </w:p>
    <w:p w:rsidR="00B6490C" w:rsidRDefault="00B6490C" w:rsidP="00B6490C">
      <w:pPr>
        <w:jc w:val="center"/>
        <w:rPr>
          <w:rFonts w:ascii="Bookman Old Style" w:hAnsi="Bookman Old Style"/>
          <w:b/>
        </w:rPr>
      </w:pPr>
    </w:p>
    <w:p w:rsidR="00B6490C" w:rsidRDefault="00B6490C" w:rsidP="00B6490C">
      <w:pPr>
        <w:jc w:val="both"/>
        <w:rPr>
          <w:rFonts w:ascii="Bookman Old Style" w:hAnsi="Bookman Old Style"/>
          <w:b/>
        </w:rPr>
      </w:pPr>
    </w:p>
    <w:p w:rsidR="00B6490C" w:rsidRDefault="00B6490C" w:rsidP="00B6490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Foi constatado que no referido local, no período noturno, a iluminação do local é escassa, trazendo preocupação aos moradores do entorno, que vivem em meio à insegurança que o local está apresentando, pois, com o local escuro, comerciantes e usuários de entorpecentes, vêem no local um bom ponto para se estabelecerem. Ao amanhecer é possível constatar a presença de pipeta utilizadas no embalo de entorpecentes, garrafas de bebidas vazias, além de preservativos utilizados jogados pela praça.</w:t>
      </w:r>
    </w:p>
    <w:p w:rsidR="00B6490C" w:rsidRDefault="00B6490C" w:rsidP="00B6490C">
      <w:pPr>
        <w:ind w:firstLine="1440"/>
        <w:outlineLvl w:val="0"/>
        <w:rPr>
          <w:rFonts w:ascii="Bookman Old Style" w:hAnsi="Bookman Old Style"/>
        </w:rPr>
      </w:pPr>
    </w:p>
    <w:p w:rsidR="00B6490C" w:rsidRDefault="00B6490C" w:rsidP="00B6490C">
      <w:pPr>
        <w:ind w:firstLine="1440"/>
        <w:outlineLvl w:val="0"/>
        <w:rPr>
          <w:rFonts w:ascii="Bookman Old Style" w:hAnsi="Bookman Old Style"/>
        </w:rPr>
      </w:pPr>
    </w:p>
    <w:p w:rsidR="00B6490C" w:rsidRDefault="00B6490C" w:rsidP="00B649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Setembro de 2011.</w:t>
      </w:r>
    </w:p>
    <w:p w:rsidR="00B6490C" w:rsidRDefault="00B6490C" w:rsidP="00B6490C">
      <w:pPr>
        <w:ind w:firstLine="1440"/>
        <w:rPr>
          <w:rFonts w:ascii="Bookman Old Style" w:hAnsi="Bookman Old Style"/>
        </w:rPr>
      </w:pPr>
    </w:p>
    <w:p w:rsidR="00B6490C" w:rsidRDefault="00B6490C" w:rsidP="00B6490C">
      <w:pPr>
        <w:rPr>
          <w:rFonts w:ascii="Bookman Old Style" w:hAnsi="Bookman Old Style"/>
        </w:rPr>
      </w:pPr>
    </w:p>
    <w:p w:rsidR="00B6490C" w:rsidRDefault="00B6490C" w:rsidP="00B6490C">
      <w:pPr>
        <w:ind w:firstLine="1440"/>
        <w:rPr>
          <w:rFonts w:ascii="Bookman Old Style" w:hAnsi="Bookman Old Style"/>
        </w:rPr>
      </w:pPr>
    </w:p>
    <w:p w:rsidR="00B6490C" w:rsidRDefault="00B6490C" w:rsidP="00B6490C">
      <w:pPr>
        <w:ind w:firstLine="1440"/>
        <w:rPr>
          <w:rFonts w:ascii="Bookman Old Style" w:hAnsi="Bookman Old Style"/>
        </w:rPr>
      </w:pPr>
    </w:p>
    <w:p w:rsidR="00B6490C" w:rsidRDefault="00B6490C" w:rsidP="00B6490C">
      <w:pPr>
        <w:jc w:val="center"/>
        <w:outlineLvl w:val="0"/>
        <w:rPr>
          <w:rFonts w:ascii="Bookman Old Style" w:hAnsi="Bookman Old Style"/>
          <w:b/>
        </w:rPr>
      </w:pPr>
    </w:p>
    <w:p w:rsidR="00B6490C" w:rsidRDefault="00B6490C" w:rsidP="00B649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6490C" w:rsidRPr="007407C9" w:rsidRDefault="00B6490C" w:rsidP="00B6490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6490C" w:rsidRDefault="00B6490C" w:rsidP="00B649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8D" w:rsidRDefault="00AD2F8D">
      <w:r>
        <w:separator/>
      </w:r>
    </w:p>
  </w:endnote>
  <w:endnote w:type="continuationSeparator" w:id="0">
    <w:p w:rsidR="00AD2F8D" w:rsidRDefault="00AD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8D" w:rsidRDefault="00AD2F8D">
      <w:r>
        <w:separator/>
      </w:r>
    </w:p>
  </w:footnote>
  <w:footnote w:type="continuationSeparator" w:id="0">
    <w:p w:rsidR="00AD2F8D" w:rsidRDefault="00AD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0AD3"/>
    <w:rsid w:val="003D3AA8"/>
    <w:rsid w:val="004C67DE"/>
    <w:rsid w:val="009F196D"/>
    <w:rsid w:val="00A9035B"/>
    <w:rsid w:val="00AD2F8D"/>
    <w:rsid w:val="00B649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49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49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