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1C" w:rsidRDefault="00305C1C" w:rsidP="00305C1C">
      <w:pPr>
        <w:pStyle w:val="Ttulo"/>
      </w:pPr>
      <w:bookmarkStart w:id="0" w:name="_GoBack"/>
      <w:bookmarkEnd w:id="0"/>
      <w:r>
        <w:t>INDICAÇÃO Nº   2998/2011</w:t>
      </w:r>
    </w:p>
    <w:p w:rsidR="00305C1C" w:rsidRDefault="00305C1C" w:rsidP="00305C1C">
      <w:pPr>
        <w:jc w:val="center"/>
        <w:rPr>
          <w:rFonts w:ascii="Bookman Old Style" w:hAnsi="Bookman Old Style"/>
          <w:b/>
          <w:u w:val="single"/>
        </w:rPr>
      </w:pPr>
    </w:p>
    <w:p w:rsidR="00305C1C" w:rsidRDefault="00305C1C" w:rsidP="00305C1C">
      <w:pPr>
        <w:jc w:val="center"/>
        <w:rPr>
          <w:rFonts w:ascii="Bookman Old Style" w:hAnsi="Bookman Old Style"/>
          <w:b/>
          <w:u w:val="single"/>
        </w:rPr>
      </w:pPr>
    </w:p>
    <w:p w:rsidR="00305C1C" w:rsidRDefault="00305C1C" w:rsidP="00305C1C">
      <w:pPr>
        <w:pStyle w:val="Recuodecorpodetexto"/>
        <w:ind w:left="4440"/>
      </w:pPr>
      <w:r>
        <w:t>“Substituição de poste em rua do Jardim Batagim.”</w:t>
      </w:r>
    </w:p>
    <w:p w:rsidR="00305C1C" w:rsidRDefault="00305C1C" w:rsidP="00305C1C">
      <w:pPr>
        <w:ind w:left="1440" w:firstLine="3600"/>
        <w:jc w:val="both"/>
        <w:rPr>
          <w:rFonts w:ascii="Bookman Old Style" w:hAnsi="Bookman Old Style"/>
        </w:rPr>
      </w:pPr>
    </w:p>
    <w:p w:rsidR="00305C1C" w:rsidRDefault="00305C1C" w:rsidP="00305C1C">
      <w:pPr>
        <w:ind w:left="1440" w:firstLine="3600"/>
        <w:jc w:val="both"/>
        <w:rPr>
          <w:rFonts w:ascii="Bookman Old Style" w:hAnsi="Bookman Old Style"/>
        </w:rPr>
      </w:pPr>
    </w:p>
    <w:p w:rsidR="00305C1C" w:rsidRDefault="00305C1C" w:rsidP="00305C1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troca de poste localizado na Rua Barão de Mauá, 110, no Jardim Batagim.</w:t>
      </w:r>
    </w:p>
    <w:p w:rsidR="00305C1C" w:rsidRDefault="00305C1C" w:rsidP="00305C1C">
      <w:pPr>
        <w:jc w:val="center"/>
        <w:rPr>
          <w:rFonts w:ascii="Bookman Old Style" w:hAnsi="Bookman Old Style"/>
          <w:b/>
        </w:rPr>
      </w:pPr>
    </w:p>
    <w:p w:rsidR="00305C1C" w:rsidRDefault="00305C1C" w:rsidP="00305C1C">
      <w:pPr>
        <w:jc w:val="center"/>
        <w:rPr>
          <w:rFonts w:ascii="Bookman Old Style" w:hAnsi="Bookman Old Style"/>
          <w:b/>
        </w:rPr>
      </w:pPr>
    </w:p>
    <w:p w:rsidR="00305C1C" w:rsidRDefault="00305C1C" w:rsidP="00305C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05C1C" w:rsidRDefault="00305C1C" w:rsidP="00305C1C">
      <w:pPr>
        <w:jc w:val="center"/>
        <w:rPr>
          <w:rFonts w:ascii="Bookman Old Style" w:hAnsi="Bookman Old Style"/>
          <w:b/>
        </w:rPr>
      </w:pPr>
    </w:p>
    <w:p w:rsidR="00305C1C" w:rsidRDefault="00305C1C" w:rsidP="00305C1C">
      <w:pPr>
        <w:jc w:val="center"/>
        <w:rPr>
          <w:rFonts w:ascii="Bookman Old Style" w:hAnsi="Bookman Old Style"/>
          <w:b/>
        </w:rPr>
      </w:pPr>
    </w:p>
    <w:p w:rsidR="00305C1C" w:rsidRDefault="00305C1C" w:rsidP="00305C1C">
      <w:pPr>
        <w:jc w:val="both"/>
        <w:rPr>
          <w:rFonts w:ascii="Bookman Old Style" w:hAnsi="Bookman Old Style"/>
          <w:b/>
        </w:rPr>
      </w:pPr>
    </w:p>
    <w:p w:rsidR="00305C1C" w:rsidRDefault="00305C1C" w:rsidP="00305C1C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Durante o vendaval do dia 29 do último mês, o referido poste se inclinou e apresenta risco de queda. A Companhia Paulista de Força e Luz (CPFL) esteve no local, porém, somente “escorou” o poste para que agüentasse mais algum tempo alegando que voltaria em seguida para realizar a troca, porém, até agora nada foi realizado e o receio de novos vendavais está tirando a tranqüilidade dos moradores pois conforme o poste se encontra atualmente, um novo vendaval e o mesmo irá atingir a residência em frente. </w:t>
      </w:r>
    </w:p>
    <w:p w:rsidR="00305C1C" w:rsidRDefault="00305C1C" w:rsidP="00305C1C">
      <w:pPr>
        <w:ind w:firstLine="1440"/>
        <w:outlineLvl w:val="0"/>
        <w:rPr>
          <w:rFonts w:ascii="Bookman Old Style" w:hAnsi="Bookman Old Style"/>
        </w:rPr>
      </w:pPr>
    </w:p>
    <w:p w:rsidR="00305C1C" w:rsidRDefault="00305C1C" w:rsidP="00305C1C">
      <w:pPr>
        <w:ind w:firstLine="1440"/>
        <w:outlineLvl w:val="0"/>
        <w:rPr>
          <w:rFonts w:ascii="Bookman Old Style" w:hAnsi="Bookman Old Style"/>
        </w:rPr>
      </w:pPr>
    </w:p>
    <w:p w:rsidR="00305C1C" w:rsidRDefault="00305C1C" w:rsidP="00305C1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novembro de 2011.</w:t>
      </w:r>
    </w:p>
    <w:p w:rsidR="00305C1C" w:rsidRDefault="00305C1C" w:rsidP="00305C1C">
      <w:pPr>
        <w:ind w:firstLine="1440"/>
        <w:rPr>
          <w:rFonts w:ascii="Bookman Old Style" w:hAnsi="Bookman Old Style"/>
        </w:rPr>
      </w:pPr>
    </w:p>
    <w:p w:rsidR="00305C1C" w:rsidRDefault="00305C1C" w:rsidP="00305C1C">
      <w:pPr>
        <w:rPr>
          <w:rFonts w:ascii="Bookman Old Style" w:hAnsi="Bookman Old Style"/>
        </w:rPr>
      </w:pPr>
    </w:p>
    <w:p w:rsidR="00305C1C" w:rsidRDefault="00305C1C" w:rsidP="00305C1C">
      <w:pPr>
        <w:ind w:firstLine="1440"/>
        <w:rPr>
          <w:rFonts w:ascii="Bookman Old Style" w:hAnsi="Bookman Old Style"/>
        </w:rPr>
      </w:pPr>
    </w:p>
    <w:p w:rsidR="00305C1C" w:rsidRDefault="00305C1C" w:rsidP="00305C1C">
      <w:pPr>
        <w:ind w:firstLine="1440"/>
        <w:rPr>
          <w:rFonts w:ascii="Bookman Old Style" w:hAnsi="Bookman Old Style"/>
        </w:rPr>
      </w:pPr>
    </w:p>
    <w:p w:rsidR="00305C1C" w:rsidRDefault="00305C1C" w:rsidP="00305C1C">
      <w:pPr>
        <w:jc w:val="center"/>
        <w:outlineLvl w:val="0"/>
        <w:rPr>
          <w:rFonts w:ascii="Bookman Old Style" w:hAnsi="Bookman Old Style"/>
          <w:b/>
        </w:rPr>
      </w:pPr>
    </w:p>
    <w:p w:rsidR="00305C1C" w:rsidRDefault="00305C1C" w:rsidP="00305C1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05C1C" w:rsidRPr="007407C9" w:rsidRDefault="00305C1C" w:rsidP="00305C1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305C1C" w:rsidRDefault="00305C1C" w:rsidP="00305C1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DF" w:rsidRDefault="007862DF">
      <w:r>
        <w:separator/>
      </w:r>
    </w:p>
  </w:endnote>
  <w:endnote w:type="continuationSeparator" w:id="0">
    <w:p w:rsidR="007862DF" w:rsidRDefault="0078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DF" w:rsidRDefault="007862DF">
      <w:r>
        <w:separator/>
      </w:r>
    </w:p>
  </w:footnote>
  <w:footnote w:type="continuationSeparator" w:id="0">
    <w:p w:rsidR="007862DF" w:rsidRDefault="00786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5C1C"/>
    <w:rsid w:val="00346441"/>
    <w:rsid w:val="003D3AA8"/>
    <w:rsid w:val="004C67DE"/>
    <w:rsid w:val="007862D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5C1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05C1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