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Default="00761E30" w:rsidP="00761E30">
      <w:pPr>
        <w:pStyle w:val="Ttulo"/>
      </w:pPr>
      <w:bookmarkStart w:id="0" w:name="_GoBack"/>
      <w:bookmarkEnd w:id="0"/>
      <w:r>
        <w:t>INDICAÇÃO Nº                        309        /2012</w:t>
      </w:r>
    </w:p>
    <w:p w:rsidR="00761E30" w:rsidRDefault="00761E30" w:rsidP="00761E30">
      <w:pPr>
        <w:jc w:val="center"/>
        <w:rPr>
          <w:rFonts w:ascii="Bookman Old Style" w:hAnsi="Bookman Old Style"/>
          <w:b/>
          <w:u w:val="single"/>
        </w:rPr>
      </w:pPr>
    </w:p>
    <w:p w:rsidR="00761E30" w:rsidRDefault="00761E30" w:rsidP="00761E30">
      <w:pPr>
        <w:jc w:val="center"/>
        <w:rPr>
          <w:rFonts w:ascii="Bookman Old Style" w:hAnsi="Bookman Old Style"/>
          <w:b/>
          <w:u w:val="single"/>
        </w:rPr>
      </w:pPr>
    </w:p>
    <w:p w:rsidR="00761E30" w:rsidRDefault="00761E30" w:rsidP="00761E30">
      <w:pPr>
        <w:pStyle w:val="Recuodecorpodetexto"/>
        <w:ind w:left="4248"/>
      </w:pPr>
      <w:r>
        <w:t>“Recapeamento em rua localizada na Vila Santa Cecília .”</w:t>
      </w:r>
    </w:p>
    <w:p w:rsidR="00761E30" w:rsidRDefault="00761E30" w:rsidP="00761E30">
      <w:pPr>
        <w:ind w:left="1440" w:firstLine="3600"/>
        <w:jc w:val="both"/>
        <w:rPr>
          <w:rFonts w:ascii="Bookman Old Style" w:hAnsi="Bookman Old Style"/>
        </w:rPr>
      </w:pPr>
    </w:p>
    <w:p w:rsidR="00761E30" w:rsidRDefault="00761E30" w:rsidP="00761E30">
      <w:pPr>
        <w:ind w:left="1440" w:firstLine="3600"/>
        <w:jc w:val="both"/>
        <w:rPr>
          <w:rFonts w:ascii="Bookman Old Style" w:hAnsi="Bookman Old Style"/>
        </w:rPr>
      </w:pPr>
    </w:p>
    <w:p w:rsidR="00761E30" w:rsidRPr="00022E8E" w:rsidRDefault="00761E30" w:rsidP="00761E3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realização de recapeamento por toda a extensão da Rua Santa Catarina na Vila Santa Cecília</w:t>
      </w:r>
      <w:r w:rsidRPr="006C5CFB">
        <w:rPr>
          <w:rFonts w:ascii="Bookman Old Style" w:hAnsi="Bookman Old Style"/>
        </w:rPr>
        <w:t>.</w:t>
      </w:r>
    </w:p>
    <w:p w:rsidR="00761E30" w:rsidRDefault="00761E30" w:rsidP="00761E30">
      <w:pPr>
        <w:jc w:val="center"/>
        <w:rPr>
          <w:rFonts w:ascii="Bookman Old Style" w:hAnsi="Bookman Old Style"/>
          <w:b/>
        </w:rPr>
      </w:pPr>
    </w:p>
    <w:p w:rsidR="00761E30" w:rsidRDefault="00761E30" w:rsidP="00761E30">
      <w:pPr>
        <w:jc w:val="center"/>
        <w:rPr>
          <w:rFonts w:ascii="Bookman Old Style" w:hAnsi="Bookman Old Style"/>
          <w:b/>
        </w:rPr>
      </w:pPr>
    </w:p>
    <w:p w:rsidR="00761E30" w:rsidRDefault="00761E30" w:rsidP="00761E3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1E30" w:rsidRDefault="00761E30" w:rsidP="00761E30">
      <w:pPr>
        <w:jc w:val="center"/>
        <w:rPr>
          <w:rFonts w:ascii="Bookman Old Style" w:hAnsi="Bookman Old Style"/>
          <w:b/>
        </w:rPr>
      </w:pPr>
    </w:p>
    <w:p w:rsidR="00761E30" w:rsidRDefault="00761E30" w:rsidP="00761E30">
      <w:pPr>
        <w:jc w:val="center"/>
        <w:rPr>
          <w:rFonts w:ascii="Bookman Old Style" w:hAnsi="Bookman Old Style"/>
          <w:b/>
        </w:rPr>
      </w:pPr>
    </w:p>
    <w:p w:rsidR="00761E30" w:rsidRDefault="00761E30" w:rsidP="00761E30">
      <w:pPr>
        <w:jc w:val="both"/>
        <w:rPr>
          <w:rFonts w:ascii="Bookman Old Style" w:hAnsi="Bookman Old Style"/>
          <w:b/>
        </w:rPr>
      </w:pPr>
    </w:p>
    <w:p w:rsidR="00761E30" w:rsidRDefault="00761E30" w:rsidP="00761E30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e usuários da referida via, reclamam do excesso de buracos na via, que, pelo número não comportaria uma operação “tapa buraco” pois além de ser esta uma solução temporária, somente amenizaria o problema, assim, solicitam o recapeamento da via.</w:t>
      </w:r>
    </w:p>
    <w:p w:rsidR="00761E30" w:rsidRDefault="00761E30" w:rsidP="00761E30">
      <w:pPr>
        <w:ind w:firstLine="1440"/>
        <w:outlineLvl w:val="0"/>
        <w:rPr>
          <w:rFonts w:ascii="Bookman Old Style" w:hAnsi="Bookman Old Style"/>
        </w:rPr>
      </w:pPr>
    </w:p>
    <w:p w:rsidR="00761E30" w:rsidRDefault="00761E30" w:rsidP="00761E30">
      <w:pPr>
        <w:ind w:firstLine="1440"/>
        <w:outlineLvl w:val="0"/>
        <w:rPr>
          <w:rFonts w:ascii="Bookman Old Style" w:hAnsi="Bookman Old Style"/>
        </w:rPr>
      </w:pPr>
    </w:p>
    <w:p w:rsidR="00761E30" w:rsidRDefault="00761E30" w:rsidP="00761E3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Fevereiro de 2012.</w:t>
      </w:r>
    </w:p>
    <w:p w:rsidR="00761E30" w:rsidRDefault="00761E30" w:rsidP="00761E30">
      <w:pPr>
        <w:ind w:firstLine="1440"/>
        <w:rPr>
          <w:rFonts w:ascii="Bookman Old Style" w:hAnsi="Bookman Old Style"/>
        </w:rPr>
      </w:pPr>
    </w:p>
    <w:p w:rsidR="00761E30" w:rsidRDefault="00761E30" w:rsidP="00761E30">
      <w:pPr>
        <w:rPr>
          <w:rFonts w:ascii="Bookman Old Style" w:hAnsi="Bookman Old Style"/>
        </w:rPr>
      </w:pPr>
    </w:p>
    <w:p w:rsidR="00761E30" w:rsidRDefault="00761E30" w:rsidP="00761E30">
      <w:pPr>
        <w:ind w:firstLine="1440"/>
        <w:rPr>
          <w:rFonts w:ascii="Bookman Old Style" w:hAnsi="Bookman Old Style"/>
        </w:rPr>
      </w:pPr>
    </w:p>
    <w:p w:rsidR="00761E30" w:rsidRDefault="00761E30" w:rsidP="00761E30">
      <w:pPr>
        <w:ind w:firstLine="1440"/>
        <w:rPr>
          <w:rFonts w:ascii="Bookman Old Style" w:hAnsi="Bookman Old Style"/>
        </w:rPr>
      </w:pPr>
    </w:p>
    <w:p w:rsidR="00761E30" w:rsidRDefault="00761E30" w:rsidP="00761E30">
      <w:pPr>
        <w:jc w:val="center"/>
        <w:outlineLvl w:val="0"/>
        <w:rPr>
          <w:rFonts w:ascii="Bookman Old Style" w:hAnsi="Bookman Old Style"/>
          <w:b/>
        </w:rPr>
      </w:pPr>
    </w:p>
    <w:p w:rsidR="00761E30" w:rsidRDefault="00761E30" w:rsidP="00761E3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61E30" w:rsidRPr="007407C9" w:rsidRDefault="00761E30" w:rsidP="00761E30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761E30" w:rsidRDefault="00761E30" w:rsidP="00761E3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D6" w:rsidRDefault="007C1DD6">
      <w:r>
        <w:separator/>
      </w:r>
    </w:p>
  </w:endnote>
  <w:endnote w:type="continuationSeparator" w:id="0">
    <w:p w:rsidR="007C1DD6" w:rsidRDefault="007C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D6" w:rsidRDefault="007C1DD6">
      <w:r>
        <w:separator/>
      </w:r>
    </w:p>
  </w:footnote>
  <w:footnote w:type="continuationSeparator" w:id="0">
    <w:p w:rsidR="007C1DD6" w:rsidRDefault="007C1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7BE3"/>
    <w:rsid w:val="001D1394"/>
    <w:rsid w:val="003D3AA8"/>
    <w:rsid w:val="004C67DE"/>
    <w:rsid w:val="00761E30"/>
    <w:rsid w:val="007C1DD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61E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61E3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61E3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61E3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