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5F9" w:rsidRPr="00DB05F9" w:rsidRDefault="00DB05F9" w:rsidP="00DB05F9">
      <w:pPr>
        <w:pStyle w:val="Ttulo"/>
        <w:rPr>
          <w:sz w:val="23"/>
          <w:szCs w:val="23"/>
        </w:rPr>
      </w:pPr>
      <w:bookmarkStart w:id="0" w:name="_GoBack"/>
      <w:bookmarkEnd w:id="0"/>
      <w:r w:rsidRPr="00DB05F9">
        <w:rPr>
          <w:sz w:val="23"/>
          <w:szCs w:val="23"/>
        </w:rPr>
        <w:t>INDICAÇÃO Nº    524   /2012</w:t>
      </w:r>
    </w:p>
    <w:p w:rsidR="00DB05F9" w:rsidRPr="00DB05F9" w:rsidRDefault="00DB05F9" w:rsidP="00DB05F9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DB05F9" w:rsidRPr="00DB05F9" w:rsidRDefault="00DB05F9" w:rsidP="00DB05F9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DB05F9" w:rsidRPr="00DB05F9" w:rsidRDefault="00DB05F9" w:rsidP="00DB05F9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DB05F9" w:rsidRPr="00DB05F9" w:rsidRDefault="00DB05F9" w:rsidP="00DB05F9">
      <w:pPr>
        <w:pStyle w:val="Recuodecorpodetexto"/>
        <w:ind w:left="4248"/>
        <w:rPr>
          <w:sz w:val="23"/>
          <w:szCs w:val="23"/>
        </w:rPr>
      </w:pPr>
      <w:r w:rsidRPr="00DB05F9">
        <w:rPr>
          <w:sz w:val="23"/>
          <w:szCs w:val="23"/>
        </w:rPr>
        <w:t>“Reforço na sinalização de “Carga e Descarga” em área do Distrito Industrial II.”</w:t>
      </w:r>
    </w:p>
    <w:p w:rsidR="00DB05F9" w:rsidRPr="00DB05F9" w:rsidRDefault="00DB05F9" w:rsidP="00DB05F9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DB05F9" w:rsidRPr="00DB05F9" w:rsidRDefault="00DB05F9" w:rsidP="00DB05F9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DB05F9" w:rsidRPr="00DB05F9" w:rsidRDefault="00DB05F9" w:rsidP="00DB05F9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DB05F9" w:rsidRPr="00DB05F9" w:rsidRDefault="00DB05F9" w:rsidP="00DB05F9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DB05F9">
        <w:rPr>
          <w:rFonts w:ascii="Bookman Old Style" w:hAnsi="Bookman Old Style"/>
          <w:b/>
          <w:bCs/>
          <w:sz w:val="23"/>
          <w:szCs w:val="23"/>
        </w:rPr>
        <w:t>INDICA</w:t>
      </w:r>
      <w:r w:rsidRPr="00DB05F9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providencie o reforço na sinalização de “Carga e Descarga”, na Rua Papa Pio XII, defronte ao nº216 no Distrito Industrial II.</w:t>
      </w:r>
    </w:p>
    <w:p w:rsidR="00DB05F9" w:rsidRPr="00DB05F9" w:rsidRDefault="00DB05F9" w:rsidP="00DB05F9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DB05F9" w:rsidRPr="00DB05F9" w:rsidRDefault="00DB05F9" w:rsidP="00DB05F9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DB05F9" w:rsidRPr="00DB05F9" w:rsidRDefault="00DB05F9" w:rsidP="00DB05F9">
      <w:pPr>
        <w:jc w:val="center"/>
        <w:rPr>
          <w:rFonts w:ascii="Bookman Old Style" w:hAnsi="Bookman Old Style"/>
          <w:b/>
          <w:sz w:val="23"/>
          <w:szCs w:val="23"/>
        </w:rPr>
      </w:pPr>
      <w:r w:rsidRPr="00DB05F9">
        <w:rPr>
          <w:rFonts w:ascii="Bookman Old Style" w:hAnsi="Bookman Old Style"/>
          <w:b/>
          <w:sz w:val="23"/>
          <w:szCs w:val="23"/>
        </w:rPr>
        <w:t>Justificativa:</w:t>
      </w:r>
    </w:p>
    <w:p w:rsidR="00DB05F9" w:rsidRPr="00DB05F9" w:rsidRDefault="00DB05F9" w:rsidP="00DB05F9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DB05F9" w:rsidRPr="00DB05F9" w:rsidRDefault="00DB05F9" w:rsidP="00DB05F9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DB05F9" w:rsidRPr="00DB05F9" w:rsidRDefault="00DB05F9" w:rsidP="00DB05F9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DB05F9" w:rsidRPr="00DB05F9" w:rsidRDefault="00DB05F9" w:rsidP="00DB05F9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  <w:r w:rsidRPr="00DB05F9">
        <w:rPr>
          <w:rFonts w:ascii="Bookman Old Style" w:hAnsi="Bookman Old Style"/>
          <w:sz w:val="23"/>
          <w:szCs w:val="23"/>
        </w:rPr>
        <w:t>Motoristas que realizam entregas na região, estão enfrentando problemas devido à falta de demarcação na via, pois, com o estacionamento de outros veículo, a carga e a descarga dos caminhões ficam prejudicadas.</w:t>
      </w:r>
    </w:p>
    <w:p w:rsidR="00DB05F9" w:rsidRPr="00DB05F9" w:rsidRDefault="00DB05F9" w:rsidP="00DB05F9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DB05F9" w:rsidRPr="00DB05F9" w:rsidRDefault="00DB05F9" w:rsidP="00DB05F9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DB05F9" w:rsidRPr="00DB05F9" w:rsidRDefault="00DB05F9" w:rsidP="00DB05F9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DB05F9" w:rsidRPr="00DB05F9" w:rsidRDefault="00DB05F9" w:rsidP="00DB05F9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DB05F9">
        <w:rPr>
          <w:rFonts w:ascii="Bookman Old Style" w:hAnsi="Bookman Old Style"/>
          <w:sz w:val="23"/>
          <w:szCs w:val="23"/>
        </w:rPr>
        <w:t>Plenário “Dr. Tancredo Neves”, em 02 de março de 2012.</w:t>
      </w:r>
    </w:p>
    <w:p w:rsidR="00DB05F9" w:rsidRPr="00DB05F9" w:rsidRDefault="00DB05F9" w:rsidP="00DB05F9">
      <w:pPr>
        <w:ind w:firstLine="1440"/>
        <w:rPr>
          <w:rFonts w:ascii="Bookman Old Style" w:hAnsi="Bookman Old Style"/>
          <w:sz w:val="23"/>
          <w:szCs w:val="23"/>
        </w:rPr>
      </w:pPr>
    </w:p>
    <w:p w:rsidR="00DB05F9" w:rsidRPr="00DB05F9" w:rsidRDefault="00DB05F9" w:rsidP="00DB05F9">
      <w:pPr>
        <w:ind w:firstLine="1440"/>
        <w:rPr>
          <w:rFonts w:ascii="Bookman Old Style" w:hAnsi="Bookman Old Style"/>
          <w:sz w:val="23"/>
          <w:szCs w:val="23"/>
        </w:rPr>
      </w:pPr>
    </w:p>
    <w:p w:rsidR="00DB05F9" w:rsidRPr="00DB05F9" w:rsidRDefault="00DB05F9" w:rsidP="00DB05F9">
      <w:pPr>
        <w:rPr>
          <w:rFonts w:ascii="Bookman Old Style" w:hAnsi="Bookman Old Style"/>
          <w:sz w:val="23"/>
          <w:szCs w:val="23"/>
        </w:rPr>
      </w:pPr>
    </w:p>
    <w:p w:rsidR="00DB05F9" w:rsidRPr="00DB05F9" w:rsidRDefault="00DB05F9" w:rsidP="00DB05F9">
      <w:pPr>
        <w:ind w:firstLine="1440"/>
        <w:rPr>
          <w:rFonts w:ascii="Bookman Old Style" w:hAnsi="Bookman Old Style"/>
          <w:sz w:val="23"/>
          <w:szCs w:val="23"/>
        </w:rPr>
      </w:pPr>
    </w:p>
    <w:p w:rsidR="00DB05F9" w:rsidRPr="00DB05F9" w:rsidRDefault="00DB05F9" w:rsidP="00DB05F9">
      <w:pPr>
        <w:ind w:firstLine="1440"/>
        <w:rPr>
          <w:rFonts w:ascii="Bookman Old Style" w:hAnsi="Bookman Old Style"/>
          <w:sz w:val="23"/>
          <w:szCs w:val="23"/>
        </w:rPr>
      </w:pPr>
    </w:p>
    <w:p w:rsidR="00DB05F9" w:rsidRPr="00DB05F9" w:rsidRDefault="00DB05F9" w:rsidP="00DB05F9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DB05F9" w:rsidRPr="00DB05F9" w:rsidRDefault="00DB05F9" w:rsidP="00DB05F9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DB05F9">
        <w:rPr>
          <w:rFonts w:ascii="Bookman Old Style" w:hAnsi="Bookman Old Style"/>
          <w:b/>
          <w:sz w:val="23"/>
          <w:szCs w:val="23"/>
        </w:rPr>
        <w:t>Danilo Godoy</w:t>
      </w:r>
    </w:p>
    <w:p w:rsidR="00DB05F9" w:rsidRPr="00DB05F9" w:rsidRDefault="00DB05F9" w:rsidP="00DB05F9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DB05F9">
        <w:rPr>
          <w:rFonts w:ascii="Bookman Old Style" w:hAnsi="Bookman Old Style"/>
          <w:b/>
          <w:sz w:val="23"/>
          <w:szCs w:val="23"/>
        </w:rPr>
        <w:t>PP</w:t>
      </w:r>
    </w:p>
    <w:p w:rsidR="00DB05F9" w:rsidRPr="00DB05F9" w:rsidRDefault="00DB05F9" w:rsidP="00DB05F9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DB05F9">
        <w:rPr>
          <w:rFonts w:ascii="Bookman Old Style" w:hAnsi="Bookman Old Style"/>
          <w:sz w:val="23"/>
          <w:szCs w:val="23"/>
        </w:rPr>
        <w:t>-vereador-</w:t>
      </w:r>
    </w:p>
    <w:sectPr w:rsidR="00DB05F9" w:rsidRPr="00DB05F9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E0A" w:rsidRDefault="00A97E0A">
      <w:r>
        <w:separator/>
      </w:r>
    </w:p>
  </w:endnote>
  <w:endnote w:type="continuationSeparator" w:id="0">
    <w:p w:rsidR="00A97E0A" w:rsidRDefault="00A97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E0A" w:rsidRDefault="00A97E0A">
      <w:r>
        <w:separator/>
      </w:r>
    </w:p>
  </w:footnote>
  <w:footnote w:type="continuationSeparator" w:id="0">
    <w:p w:rsidR="00A97E0A" w:rsidRDefault="00A97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87451"/>
    <w:rsid w:val="003D3AA8"/>
    <w:rsid w:val="004C67DE"/>
    <w:rsid w:val="009F196D"/>
    <w:rsid w:val="00A9035B"/>
    <w:rsid w:val="00A97E0A"/>
    <w:rsid w:val="00CD613B"/>
    <w:rsid w:val="00DB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DB05F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DB05F9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DB05F9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B05F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