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0A" w:rsidRDefault="0074620A" w:rsidP="0074620A">
      <w:pPr>
        <w:pStyle w:val="Ttulo"/>
      </w:pPr>
      <w:bookmarkStart w:id="0" w:name="_GoBack"/>
      <w:bookmarkEnd w:id="0"/>
      <w:r>
        <w:t>INDICAÇÃO Nº     1395  /12</w:t>
      </w:r>
    </w:p>
    <w:p w:rsidR="0074620A" w:rsidRDefault="0074620A" w:rsidP="0074620A">
      <w:pPr>
        <w:jc w:val="center"/>
        <w:rPr>
          <w:rFonts w:ascii="Bookman Old Style" w:hAnsi="Bookman Old Style"/>
          <w:b/>
          <w:u w:val="single"/>
        </w:rPr>
      </w:pPr>
    </w:p>
    <w:p w:rsidR="0074620A" w:rsidRDefault="0074620A" w:rsidP="0074620A">
      <w:pPr>
        <w:jc w:val="center"/>
        <w:rPr>
          <w:rFonts w:ascii="Bookman Old Style" w:hAnsi="Bookman Old Style"/>
          <w:b/>
          <w:u w:val="single"/>
        </w:rPr>
      </w:pPr>
    </w:p>
    <w:p w:rsidR="0074620A" w:rsidRDefault="0074620A" w:rsidP="0074620A">
      <w:pPr>
        <w:jc w:val="center"/>
        <w:rPr>
          <w:rFonts w:ascii="Bookman Old Style" w:hAnsi="Bookman Old Style"/>
          <w:b/>
          <w:u w:val="single"/>
        </w:rPr>
      </w:pPr>
    </w:p>
    <w:p w:rsidR="0074620A" w:rsidRDefault="0074620A" w:rsidP="0074620A">
      <w:pPr>
        <w:pStyle w:val="Recuodecorpodetexto"/>
        <w:ind w:left="4440"/>
      </w:pPr>
      <w:r>
        <w:t>“Operação tapa-buraco na Rua do Centeio, defronte ao número 1715 – Jd. Esmeralda.”</w:t>
      </w:r>
    </w:p>
    <w:p w:rsidR="0074620A" w:rsidRDefault="0074620A" w:rsidP="0074620A">
      <w:pPr>
        <w:ind w:left="1440" w:firstLine="3600"/>
        <w:jc w:val="both"/>
        <w:rPr>
          <w:rFonts w:ascii="Bookman Old Style" w:hAnsi="Bookman Old Style"/>
        </w:rPr>
      </w:pPr>
    </w:p>
    <w:p w:rsidR="0074620A" w:rsidRDefault="0074620A" w:rsidP="0074620A">
      <w:pPr>
        <w:ind w:left="1440" w:firstLine="3600"/>
        <w:jc w:val="both"/>
        <w:rPr>
          <w:rFonts w:ascii="Bookman Old Style" w:hAnsi="Bookman Old Style"/>
        </w:rPr>
      </w:pPr>
    </w:p>
    <w:p w:rsidR="0074620A" w:rsidRDefault="0074620A" w:rsidP="0074620A">
      <w:pPr>
        <w:ind w:left="1440" w:firstLine="3600"/>
        <w:jc w:val="both"/>
        <w:rPr>
          <w:rFonts w:ascii="Bookman Old Style" w:hAnsi="Bookman Old Style"/>
        </w:rPr>
      </w:pPr>
    </w:p>
    <w:p w:rsidR="0074620A" w:rsidRDefault="0074620A" w:rsidP="0074620A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74620A" w:rsidRPr="00BF787D" w:rsidRDefault="0074620A" w:rsidP="0074620A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</w:t>
      </w:r>
      <w:r w:rsidRPr="00E04EE3">
        <w:rPr>
          <w:rFonts w:ascii="Bookman Old Style" w:hAnsi="Bookman Old Style"/>
        </w:rPr>
        <w:t>buraco</w:t>
      </w:r>
      <w:r>
        <w:rPr>
          <w:rFonts w:ascii="Bookman Old Style" w:hAnsi="Bookman Old Style"/>
        </w:rPr>
        <w:t xml:space="preserve"> </w:t>
      </w:r>
      <w:r w:rsidRPr="00BF787D">
        <w:rPr>
          <w:rFonts w:ascii="Bookman Old Style" w:hAnsi="Bookman Old Style"/>
        </w:rPr>
        <w:t xml:space="preserve">na Rua do Centeio, defronte ao número 1715 – Jd. </w:t>
      </w:r>
      <w:r>
        <w:rPr>
          <w:rFonts w:ascii="Bookman Old Style" w:hAnsi="Bookman Old Style"/>
        </w:rPr>
        <w:t>E</w:t>
      </w:r>
      <w:r w:rsidRPr="00BF787D">
        <w:rPr>
          <w:rFonts w:ascii="Bookman Old Style" w:hAnsi="Bookman Old Style"/>
        </w:rPr>
        <w:t>smeralda</w:t>
      </w:r>
      <w:r>
        <w:rPr>
          <w:rFonts w:ascii="Bookman Old Style" w:hAnsi="Bookman Old Style"/>
        </w:rPr>
        <w:t>.</w:t>
      </w:r>
    </w:p>
    <w:p w:rsidR="0074620A" w:rsidRDefault="0074620A" w:rsidP="0074620A">
      <w:pPr>
        <w:jc w:val="center"/>
        <w:rPr>
          <w:rFonts w:ascii="Bookman Old Style" w:hAnsi="Bookman Old Style"/>
          <w:b/>
        </w:rPr>
      </w:pPr>
    </w:p>
    <w:p w:rsidR="0074620A" w:rsidRDefault="0074620A" w:rsidP="0074620A">
      <w:pPr>
        <w:jc w:val="center"/>
        <w:rPr>
          <w:rFonts w:ascii="Bookman Old Style" w:hAnsi="Bookman Old Style"/>
          <w:b/>
        </w:rPr>
      </w:pPr>
    </w:p>
    <w:p w:rsidR="0074620A" w:rsidRDefault="0074620A" w:rsidP="0074620A">
      <w:pPr>
        <w:jc w:val="center"/>
        <w:rPr>
          <w:rFonts w:ascii="Bookman Old Style" w:hAnsi="Bookman Old Style"/>
          <w:b/>
        </w:rPr>
      </w:pPr>
    </w:p>
    <w:p w:rsidR="0074620A" w:rsidRDefault="0074620A" w:rsidP="007462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620A" w:rsidRDefault="0074620A" w:rsidP="0074620A">
      <w:pPr>
        <w:jc w:val="center"/>
        <w:rPr>
          <w:rFonts w:ascii="Bookman Old Style" w:hAnsi="Bookman Old Style"/>
          <w:b/>
        </w:rPr>
      </w:pPr>
    </w:p>
    <w:p w:rsidR="0074620A" w:rsidRDefault="0074620A" w:rsidP="0074620A">
      <w:pPr>
        <w:jc w:val="center"/>
        <w:rPr>
          <w:rFonts w:ascii="Bookman Old Style" w:hAnsi="Bookman Old Style"/>
          <w:b/>
        </w:rPr>
      </w:pPr>
    </w:p>
    <w:p w:rsidR="0074620A" w:rsidRDefault="0074620A" w:rsidP="0074620A">
      <w:pPr>
        <w:jc w:val="center"/>
        <w:rPr>
          <w:rFonts w:ascii="Bookman Old Style" w:hAnsi="Bookman Old Style"/>
          <w:b/>
        </w:rPr>
      </w:pPr>
    </w:p>
    <w:p w:rsidR="0074620A" w:rsidRDefault="0074620A" w:rsidP="0074620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asfáltica danificada. Fato este que causa transtornos aos motoristas que por ela necessitam transitar, podendo até mesmo causar acidentes. </w:t>
      </w:r>
    </w:p>
    <w:p w:rsidR="0074620A" w:rsidRDefault="0074620A" w:rsidP="0074620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Necessita com urgência dos serviços solicitados.</w:t>
      </w:r>
    </w:p>
    <w:p w:rsidR="0074620A" w:rsidRDefault="0074620A" w:rsidP="0074620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4620A" w:rsidRDefault="0074620A" w:rsidP="0074620A">
      <w:pPr>
        <w:outlineLvl w:val="0"/>
        <w:rPr>
          <w:rFonts w:ascii="Bookman Old Style" w:hAnsi="Bookman Old Style"/>
        </w:rPr>
      </w:pPr>
    </w:p>
    <w:p w:rsidR="0074620A" w:rsidRDefault="0074620A" w:rsidP="007462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agosto de 2012.</w:t>
      </w:r>
    </w:p>
    <w:p w:rsidR="0074620A" w:rsidRDefault="0074620A" w:rsidP="0074620A">
      <w:pPr>
        <w:ind w:firstLine="1440"/>
        <w:rPr>
          <w:rFonts w:ascii="Bookman Old Style" w:hAnsi="Bookman Old Style"/>
        </w:rPr>
      </w:pPr>
    </w:p>
    <w:p w:rsidR="0074620A" w:rsidRDefault="0074620A" w:rsidP="0074620A">
      <w:pPr>
        <w:rPr>
          <w:rFonts w:ascii="Bookman Old Style" w:hAnsi="Bookman Old Style"/>
        </w:rPr>
      </w:pPr>
    </w:p>
    <w:p w:rsidR="0074620A" w:rsidRDefault="0074620A" w:rsidP="0074620A">
      <w:pPr>
        <w:ind w:firstLine="1440"/>
        <w:rPr>
          <w:rFonts w:ascii="Bookman Old Style" w:hAnsi="Bookman Old Style"/>
        </w:rPr>
      </w:pPr>
    </w:p>
    <w:p w:rsidR="0074620A" w:rsidRDefault="0074620A" w:rsidP="0074620A">
      <w:pPr>
        <w:jc w:val="center"/>
        <w:outlineLvl w:val="0"/>
        <w:rPr>
          <w:rFonts w:ascii="Bookman Old Style" w:hAnsi="Bookman Old Style"/>
          <w:b/>
        </w:rPr>
      </w:pPr>
    </w:p>
    <w:p w:rsidR="0074620A" w:rsidRDefault="0074620A" w:rsidP="007462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4620A" w:rsidRDefault="0074620A" w:rsidP="007462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4620A" w:rsidRDefault="0074620A" w:rsidP="007462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74620A" w:rsidRDefault="0074620A" w:rsidP="0074620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7C" w:rsidRDefault="00FD047C">
      <w:r>
        <w:separator/>
      </w:r>
    </w:p>
  </w:endnote>
  <w:endnote w:type="continuationSeparator" w:id="0">
    <w:p w:rsidR="00FD047C" w:rsidRDefault="00F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7C" w:rsidRDefault="00FD047C">
      <w:r>
        <w:separator/>
      </w:r>
    </w:p>
  </w:footnote>
  <w:footnote w:type="continuationSeparator" w:id="0">
    <w:p w:rsidR="00FD047C" w:rsidRDefault="00FD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620A"/>
    <w:rsid w:val="009F196D"/>
    <w:rsid w:val="00A9035B"/>
    <w:rsid w:val="00AE0A09"/>
    <w:rsid w:val="00CD613B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62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620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