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C0731B">
        <w:rPr>
          <w:rFonts w:ascii="Arial" w:hAnsi="Arial" w:cs="Arial"/>
        </w:rPr>
        <w:t>00519</w:t>
      </w:r>
      <w:r w:rsidRPr="00D409BC">
        <w:rPr>
          <w:rFonts w:ascii="Arial" w:hAnsi="Arial" w:cs="Arial"/>
        </w:rPr>
        <w:t>/</w:t>
      </w:r>
      <w:r w:rsidR="00C0731B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D23210">
        <w:rPr>
          <w:rFonts w:ascii="Arial" w:hAnsi="Arial" w:cs="Arial"/>
          <w:sz w:val="24"/>
          <w:szCs w:val="24"/>
        </w:rPr>
        <w:t xml:space="preserve">a instalação de placa denominativa na Rua </w:t>
      </w:r>
      <w:r w:rsidR="001A2F66">
        <w:rPr>
          <w:rFonts w:ascii="Arial" w:hAnsi="Arial" w:cs="Arial"/>
          <w:sz w:val="24"/>
          <w:szCs w:val="24"/>
        </w:rPr>
        <w:t>“</w:t>
      </w:r>
      <w:r w:rsidR="00D23210">
        <w:rPr>
          <w:rFonts w:ascii="Arial" w:hAnsi="Arial" w:cs="Arial"/>
          <w:sz w:val="24"/>
          <w:szCs w:val="24"/>
        </w:rPr>
        <w:t>F”, no bairro Jardim Dona Regina.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1A2F66">
        <w:rPr>
          <w:rFonts w:ascii="Arial" w:hAnsi="Arial" w:cs="Arial"/>
          <w:sz w:val="24"/>
          <w:szCs w:val="24"/>
        </w:rPr>
        <w:t xml:space="preserve">o loteamento Jardim Dona Regina, em Santa Bárbara d’Oeste, foi aprovado por meio do decreto </w:t>
      </w:r>
      <w:r w:rsidR="001A2F66" w:rsidRPr="001A2F66">
        <w:rPr>
          <w:rFonts w:ascii="Arial" w:hAnsi="Arial" w:cs="Arial"/>
          <w:sz w:val="24"/>
          <w:szCs w:val="24"/>
        </w:rPr>
        <w:t>3295/2002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</w:t>
      </w:r>
      <w:r w:rsidR="001A2F66">
        <w:rPr>
          <w:rFonts w:ascii="Arial" w:hAnsi="Arial" w:cs="Arial"/>
          <w:sz w:val="24"/>
          <w:szCs w:val="24"/>
        </w:rPr>
        <w:t xml:space="preserve">, pela </w:t>
      </w:r>
      <w:r w:rsidR="001A2F66" w:rsidRPr="001A2F66">
        <w:rPr>
          <w:rFonts w:ascii="Arial" w:hAnsi="Arial" w:cs="Arial"/>
          <w:sz w:val="24"/>
          <w:szCs w:val="24"/>
        </w:rPr>
        <w:t xml:space="preserve">lei municipal </w:t>
      </w:r>
      <w:r w:rsidR="001A2F66">
        <w:rPr>
          <w:rFonts w:ascii="Arial" w:hAnsi="Arial" w:cs="Arial"/>
          <w:sz w:val="24"/>
          <w:szCs w:val="24"/>
        </w:rPr>
        <w:t xml:space="preserve">nº </w:t>
      </w:r>
      <w:r w:rsidR="001A2F66" w:rsidRPr="001A2F66">
        <w:rPr>
          <w:rFonts w:ascii="Arial" w:hAnsi="Arial" w:cs="Arial"/>
          <w:sz w:val="24"/>
          <w:szCs w:val="24"/>
        </w:rPr>
        <w:t>3392/2012</w:t>
      </w:r>
      <w:r w:rsidR="001A2F66">
        <w:rPr>
          <w:rFonts w:ascii="Arial" w:hAnsi="Arial" w:cs="Arial"/>
          <w:sz w:val="24"/>
          <w:szCs w:val="24"/>
        </w:rPr>
        <w:t>, em vigor, a Rua “</w:t>
      </w:r>
      <w:r w:rsidR="001A2F66" w:rsidRPr="001A2F66">
        <w:rPr>
          <w:rFonts w:ascii="Arial" w:hAnsi="Arial" w:cs="Arial"/>
          <w:sz w:val="24"/>
          <w:szCs w:val="24"/>
        </w:rPr>
        <w:t>F</w:t>
      </w:r>
      <w:r w:rsidR="001A2F66">
        <w:rPr>
          <w:rFonts w:ascii="Arial" w:hAnsi="Arial" w:cs="Arial"/>
          <w:sz w:val="24"/>
          <w:szCs w:val="24"/>
        </w:rPr>
        <w:t>” passa a denominar-se</w:t>
      </w:r>
      <w:r w:rsidR="001A2F66" w:rsidRPr="001A2F66">
        <w:rPr>
          <w:rFonts w:ascii="Arial" w:hAnsi="Arial" w:cs="Arial"/>
          <w:sz w:val="24"/>
          <w:szCs w:val="24"/>
        </w:rPr>
        <w:t xml:space="preserve"> </w:t>
      </w:r>
      <w:r w:rsidR="001A2F66">
        <w:rPr>
          <w:rFonts w:ascii="Arial" w:hAnsi="Arial" w:cs="Arial"/>
          <w:sz w:val="24"/>
          <w:szCs w:val="24"/>
        </w:rPr>
        <w:t>“</w:t>
      </w:r>
      <w:proofErr w:type="spellStart"/>
      <w:r w:rsidR="001A2F66">
        <w:rPr>
          <w:rFonts w:ascii="Arial" w:hAnsi="Arial" w:cs="Arial"/>
          <w:sz w:val="24"/>
          <w:szCs w:val="24"/>
        </w:rPr>
        <w:t>Nacyr</w:t>
      </w:r>
      <w:proofErr w:type="spellEnd"/>
      <w:r w:rsidR="001A2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F66">
        <w:rPr>
          <w:rFonts w:ascii="Arial" w:hAnsi="Arial" w:cs="Arial"/>
          <w:sz w:val="24"/>
          <w:szCs w:val="24"/>
        </w:rPr>
        <w:t>Antonio</w:t>
      </w:r>
      <w:proofErr w:type="spellEnd"/>
      <w:r w:rsidR="001A2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2F66">
        <w:rPr>
          <w:rFonts w:ascii="Arial" w:hAnsi="Arial" w:cs="Arial"/>
          <w:sz w:val="24"/>
          <w:szCs w:val="24"/>
        </w:rPr>
        <w:t>Nucchette</w:t>
      </w:r>
      <w:proofErr w:type="spellEnd"/>
      <w:r w:rsidR="001A2F66" w:rsidRPr="001A2F66">
        <w:rPr>
          <w:rFonts w:ascii="Arial" w:hAnsi="Arial" w:cs="Arial"/>
          <w:sz w:val="24"/>
          <w:szCs w:val="24"/>
        </w:rPr>
        <w:t>”.</w:t>
      </w:r>
    </w:p>
    <w:p w:rsidR="00FF3852" w:rsidRPr="00D409BC" w:rsidRDefault="001A2F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1A2F66" w:rsidRPr="001A2F66">
        <w:rPr>
          <w:rFonts w:ascii="Arial" w:hAnsi="Arial" w:cs="Arial"/>
          <w:sz w:val="24"/>
          <w:szCs w:val="24"/>
        </w:rPr>
        <w:t>o artigo 2º da referida lei estipula que a Prefeitura, em momento oportuno, afixará placas denominativas para a perfeita identificação do logradouro.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9EA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1A2F66">
        <w:rPr>
          <w:rFonts w:ascii="Arial" w:hAnsi="Arial" w:cs="Arial"/>
          <w:sz w:val="24"/>
          <w:szCs w:val="24"/>
        </w:rPr>
        <w:t xml:space="preserve"> a fixação de placas denominativas foi sugerida à Administração Municipal por meio da indicação nº 169/2013, de autoria deste vereador e, de janeiro deste ano até o momento, não houve retorno ou execução do serviço solicitado.</w:t>
      </w:r>
      <w:r w:rsidR="001A2F66" w:rsidRPr="00D409BC">
        <w:rPr>
          <w:rFonts w:ascii="Arial" w:hAnsi="Arial" w:cs="Arial"/>
          <w:sz w:val="24"/>
          <w:szCs w:val="24"/>
        </w:rPr>
        <w:t xml:space="preserve"> </w:t>
      </w:r>
    </w:p>
    <w:p w:rsidR="00BC51D0" w:rsidRDefault="00BC51D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1A2F66">
        <w:rPr>
          <w:rFonts w:ascii="Arial" w:hAnsi="Arial" w:cs="Arial"/>
          <w:sz w:val="24"/>
          <w:szCs w:val="24"/>
        </w:rPr>
        <w:t>Qual é o prazo previsto pela Administração Municipal para que as placas denominativas sejam instaladas no local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1A2F66">
        <w:rPr>
          <w:rFonts w:ascii="Arial" w:hAnsi="Arial" w:cs="Arial"/>
          <w:sz w:val="24"/>
          <w:szCs w:val="24"/>
        </w:rPr>
        <w:t>Outras informações que julgar relevantes.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3C93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4E0B70">
        <w:rPr>
          <w:rFonts w:ascii="Arial" w:hAnsi="Arial" w:cs="Arial"/>
        </w:rPr>
        <w:t xml:space="preserve">e conforme vistoria “in loco”, pode constatar </w:t>
      </w:r>
      <w:r w:rsidR="001A2F66">
        <w:rPr>
          <w:rFonts w:ascii="Arial" w:hAnsi="Arial" w:cs="Arial"/>
        </w:rPr>
        <w:t xml:space="preserve">a ausência de placas denominativas na Rua </w:t>
      </w:r>
    </w:p>
    <w:p w:rsidR="00D23C93" w:rsidRPr="00D409BC" w:rsidRDefault="00D23C93" w:rsidP="00D23C93">
      <w:pPr>
        <w:pStyle w:val="Ttulo"/>
        <w:rPr>
          <w:rFonts w:ascii="Arial" w:hAnsi="Arial" w:cs="Arial"/>
        </w:rPr>
      </w:pPr>
      <w:r w:rsidRPr="00D409BC"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00519</w:t>
      </w:r>
      <w:r w:rsidRPr="00D409B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2013 – </w:t>
      </w:r>
      <w:proofErr w:type="spellStart"/>
      <w:r>
        <w:rPr>
          <w:rFonts w:ascii="Arial" w:hAnsi="Arial" w:cs="Arial"/>
        </w:rPr>
        <w:t>fh</w:t>
      </w:r>
      <w:proofErr w:type="spellEnd"/>
      <w:r>
        <w:rPr>
          <w:rFonts w:ascii="Arial" w:hAnsi="Arial" w:cs="Arial"/>
        </w:rPr>
        <w:t>. 2</w:t>
      </w:r>
    </w:p>
    <w:p w:rsidR="00D23C93" w:rsidRDefault="00D23C93" w:rsidP="00FF3852">
      <w:pPr>
        <w:pStyle w:val="Recuodecorpodetexto2"/>
        <w:rPr>
          <w:rFonts w:ascii="Arial" w:hAnsi="Arial" w:cs="Arial"/>
        </w:rPr>
      </w:pPr>
    </w:p>
    <w:p w:rsidR="00D23C93" w:rsidRDefault="00D23C93" w:rsidP="00FF3852">
      <w:pPr>
        <w:pStyle w:val="Recuodecorpodetexto2"/>
        <w:rPr>
          <w:rFonts w:ascii="Arial" w:hAnsi="Arial" w:cs="Arial"/>
        </w:rPr>
      </w:pPr>
    </w:p>
    <w:p w:rsidR="00D23C93" w:rsidRDefault="00D23C93" w:rsidP="00FF3852">
      <w:pPr>
        <w:pStyle w:val="Recuodecorpodetexto2"/>
        <w:rPr>
          <w:rFonts w:ascii="Arial" w:hAnsi="Arial" w:cs="Arial"/>
        </w:rPr>
      </w:pPr>
    </w:p>
    <w:p w:rsidR="00FF3852" w:rsidRPr="00D409BC" w:rsidRDefault="001A2F66" w:rsidP="00D23C9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“F”, no loteamento Jardim Dona Regina – fato este que traz imenso prejuízo aos moradores daquela região devido à dificuldade em receberem em seus endereços correspondências e outros documentos importantes</w:t>
      </w:r>
      <w:r w:rsidR="004E0B70">
        <w:rPr>
          <w:rFonts w:ascii="Arial" w:hAnsi="Arial" w:cs="Arial"/>
        </w:rPr>
        <w:t xml:space="preserve">.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CE48BE">
        <w:rPr>
          <w:rFonts w:ascii="Arial" w:hAnsi="Arial" w:cs="Arial"/>
          <w:sz w:val="24"/>
          <w:szCs w:val="24"/>
        </w:rPr>
        <w:t>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E0B70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E48BE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5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9C" w:rsidRDefault="003D2E9C">
      <w:r>
        <w:separator/>
      </w:r>
    </w:p>
  </w:endnote>
  <w:endnote w:type="continuationSeparator" w:id="0">
    <w:p w:rsidR="003D2E9C" w:rsidRDefault="003D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9C" w:rsidRDefault="003D2E9C">
      <w:r>
        <w:separator/>
      </w:r>
    </w:p>
  </w:footnote>
  <w:footnote w:type="continuationSeparator" w:id="0">
    <w:p w:rsidR="003D2E9C" w:rsidRDefault="003D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05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05D9" w:rsidRPr="000905D9" w:rsidRDefault="000905D9" w:rsidP="000905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05D9">
                  <w:rPr>
                    <w:rFonts w:ascii="Arial" w:hAnsi="Arial" w:cs="Arial"/>
                    <w:b/>
                  </w:rPr>
                  <w:t>PROTOCOLO Nº: 04934/2013     DATA: 02/05/2013     HORA: 15:42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905D9"/>
    <w:rsid w:val="000F3B90"/>
    <w:rsid w:val="001A2F66"/>
    <w:rsid w:val="001B478A"/>
    <w:rsid w:val="001D1394"/>
    <w:rsid w:val="00246989"/>
    <w:rsid w:val="0033648A"/>
    <w:rsid w:val="00373483"/>
    <w:rsid w:val="00376580"/>
    <w:rsid w:val="00393EF5"/>
    <w:rsid w:val="003C2C37"/>
    <w:rsid w:val="003D2E9C"/>
    <w:rsid w:val="003D3AA8"/>
    <w:rsid w:val="00454EAC"/>
    <w:rsid w:val="00462FBC"/>
    <w:rsid w:val="0049057E"/>
    <w:rsid w:val="00495FF8"/>
    <w:rsid w:val="004B57DB"/>
    <w:rsid w:val="004C67DE"/>
    <w:rsid w:val="004E0B70"/>
    <w:rsid w:val="005059EA"/>
    <w:rsid w:val="005D6EDC"/>
    <w:rsid w:val="0063697A"/>
    <w:rsid w:val="0066225D"/>
    <w:rsid w:val="00705ABB"/>
    <w:rsid w:val="007320CA"/>
    <w:rsid w:val="00745E90"/>
    <w:rsid w:val="0075019C"/>
    <w:rsid w:val="007B1241"/>
    <w:rsid w:val="00810FF3"/>
    <w:rsid w:val="008B1024"/>
    <w:rsid w:val="00910658"/>
    <w:rsid w:val="009F196D"/>
    <w:rsid w:val="00A529D6"/>
    <w:rsid w:val="00A71CAF"/>
    <w:rsid w:val="00A9035B"/>
    <w:rsid w:val="00AE702A"/>
    <w:rsid w:val="00B50C0A"/>
    <w:rsid w:val="00B90DF3"/>
    <w:rsid w:val="00B918BC"/>
    <w:rsid w:val="00BC51D0"/>
    <w:rsid w:val="00C0731B"/>
    <w:rsid w:val="00C2138F"/>
    <w:rsid w:val="00C6180D"/>
    <w:rsid w:val="00CD613B"/>
    <w:rsid w:val="00CE48BE"/>
    <w:rsid w:val="00CF7F49"/>
    <w:rsid w:val="00D23210"/>
    <w:rsid w:val="00D23C93"/>
    <w:rsid w:val="00D26CB3"/>
    <w:rsid w:val="00D409BC"/>
    <w:rsid w:val="00DC252D"/>
    <w:rsid w:val="00E522C4"/>
    <w:rsid w:val="00E903BB"/>
    <w:rsid w:val="00EB7D7D"/>
    <w:rsid w:val="00EE7983"/>
    <w:rsid w:val="00F16623"/>
    <w:rsid w:val="00FA2D4D"/>
    <w:rsid w:val="00FA35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A924-F435-4FEF-ABF8-2A1E163D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