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4658A3">
        <w:rPr>
          <w:rFonts w:ascii="Arial" w:hAnsi="Arial" w:cs="Arial"/>
          <w:sz w:val="24"/>
          <w:szCs w:val="24"/>
        </w:rPr>
        <w:t xml:space="preserve"> ao requerimento 300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4658A3">
        <w:rPr>
          <w:sz w:val="24"/>
          <w:szCs w:val="24"/>
        </w:rPr>
        <w:t xml:space="preserve"> da resposta ao requerimento 300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4658A3">
        <w:rPr>
          <w:sz w:val="24"/>
          <w:szCs w:val="24"/>
        </w:rPr>
        <w:t>informar se houve estudo para a colocação de intérprete e/ou janela de LIBRAS nos programas noticiosos, coletivas de imprensa da Prefeitura Municipal.</w:t>
      </w:r>
    </w:p>
    <w:p w:rsidR="004658A3" w:rsidP="004658A3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  <w:bookmarkStart w:id="0" w:name="_GoBack"/>
      <w:bookmarkEnd w:id="0"/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658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3CEF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041589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80128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28445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658A3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03CEF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48</cp:revision>
  <cp:lastPrinted>2013-01-24T12:50:00Z</cp:lastPrinted>
  <dcterms:created xsi:type="dcterms:W3CDTF">2021-04-27T13:33:00Z</dcterms:created>
  <dcterms:modified xsi:type="dcterms:W3CDTF">2021-06-16T16:54:00Z</dcterms:modified>
</cp:coreProperties>
</file>