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2030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CDEB06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 w:rsidR="002B3659">
        <w:rPr>
          <w:rFonts w:ascii="Arial" w:hAnsi="Arial" w:cs="Arial"/>
          <w:sz w:val="24"/>
          <w:szCs w:val="24"/>
        </w:rPr>
        <w:t>Piscante na</w:t>
      </w:r>
      <w:r w:rsidR="002B3659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 </w:t>
      </w:r>
      <w:r w:rsidR="009458AB">
        <w:rPr>
          <w:rFonts w:ascii="Arial" w:hAnsi="Arial" w:cs="Arial"/>
          <w:sz w:val="24"/>
          <w:szCs w:val="24"/>
        </w:rPr>
        <w:t>Rua José Maria Alkimin, próximo ao 64, 31 de Março</w:t>
      </w:r>
      <w:r w:rsidR="00F218D4">
        <w:rPr>
          <w:rFonts w:ascii="Arial" w:hAnsi="Arial" w:cs="Arial"/>
          <w:sz w:val="24"/>
          <w:szCs w:val="24"/>
        </w:rPr>
        <w:t>.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57E2AC90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 </w:t>
      </w:r>
      <w:r w:rsidR="009458AB">
        <w:rPr>
          <w:rFonts w:ascii="Arial" w:hAnsi="Arial" w:cs="Arial"/>
          <w:sz w:val="24"/>
          <w:szCs w:val="24"/>
        </w:rPr>
        <w:t>troca de lâmpada Piscante na</w:t>
      </w:r>
      <w:r w:rsidR="009458AB">
        <w:rPr>
          <w:rFonts w:ascii="Arial" w:hAnsi="Arial" w:cs="Arial"/>
          <w:sz w:val="24"/>
          <w:szCs w:val="24"/>
        </w:rPr>
        <w:t xml:space="preserve">  </w:t>
      </w:r>
      <w:r w:rsidR="009458AB">
        <w:rPr>
          <w:rFonts w:ascii="Arial" w:hAnsi="Arial" w:cs="Arial"/>
          <w:sz w:val="24"/>
          <w:szCs w:val="24"/>
        </w:rPr>
        <w:t>Rua José Maria Alkimin, próximo ao 64, 31 de Março</w:t>
      </w:r>
      <w:r w:rsidR="009458A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33B1AE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</w:t>
      </w:r>
      <w:r w:rsidR="002B3659">
        <w:rPr>
          <w:rFonts w:ascii="Arial" w:hAnsi="Arial" w:cs="Arial"/>
          <w:sz w:val="24"/>
          <w:szCs w:val="24"/>
        </w:rPr>
        <w:t>7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9999930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841816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233065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58AB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8768-3A5D-4358-B2B5-2A157090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2021-06-07T18:24:00Z</dcterms:created>
  <dcterms:modified xsi:type="dcterms:W3CDTF">2021-06-07T18:24:00Z</dcterms:modified>
</cp:coreProperties>
</file>