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4860" w:rsidRPr="00CA5801" w:rsidP="003D4860">
      <w:pPr>
        <w:pStyle w:val="Title"/>
        <w:rPr>
          <w:rFonts w:ascii="Arial" w:hAnsi="Arial" w:cs="Arial"/>
        </w:rPr>
      </w:pPr>
      <w:r w:rsidRPr="00CA5801">
        <w:rPr>
          <w:rFonts w:ascii="Arial" w:hAnsi="Arial" w:cs="Arial"/>
        </w:rPr>
        <w:t xml:space="preserve">PROJETO DE LEI Nº </w:t>
      </w:r>
      <w:r w:rsidRPr="00CA5801">
        <w:rPr>
          <w:rFonts w:ascii="Arial" w:hAnsi="Arial" w:cs="Arial"/>
        </w:rPr>
        <w:t>95</w:t>
      </w:r>
      <w:r w:rsidRPr="00CA5801">
        <w:rPr>
          <w:rFonts w:ascii="Arial" w:hAnsi="Arial" w:cs="Arial"/>
        </w:rPr>
        <w:t>/</w:t>
      </w:r>
      <w:r w:rsidRPr="00CA5801">
        <w:rPr>
          <w:rFonts w:ascii="Arial" w:hAnsi="Arial" w:cs="Arial"/>
        </w:rPr>
        <w:t>2021</w:t>
      </w:r>
    </w:p>
    <w:p w:rsidR="00E2476C" w:rsidRPr="00CA5801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5801">
        <w:rPr>
          <w:rFonts w:ascii="Arial" w:hAnsi="Arial" w:cs="Arial"/>
          <w:sz w:val="24"/>
          <w:szCs w:val="24"/>
        </w:rPr>
        <w:t xml:space="preserve"> </w:t>
      </w:r>
    </w:p>
    <w:p w:rsidR="00016596" w:rsidRPr="000244A2" w:rsidP="000244A2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>"Estabelece</w:t>
      </w:r>
      <w:r w:rsidRPr="000244A2" w:rsidR="00CA5801">
        <w:rPr>
          <w:rFonts w:ascii="Arial" w:hAnsi="Arial" w:cs="Arial"/>
          <w:sz w:val="24"/>
          <w:szCs w:val="24"/>
        </w:rPr>
        <w:t xml:space="preserve"> o</w:t>
      </w:r>
      <w:r w:rsidRPr="000244A2">
        <w:rPr>
          <w:rFonts w:ascii="Arial" w:hAnsi="Arial" w:cs="Arial"/>
          <w:sz w:val="24"/>
          <w:szCs w:val="24"/>
        </w:rPr>
        <w:t xml:space="preserve"> dever do Município de prestar assessoria jurídica gratuita para membros da Guarda Civil Municipal que sofrem processo judicial por conta do desempenho de suas funções”</w:t>
      </w:r>
      <w:r w:rsidRPr="000244A2">
        <w:rPr>
          <w:rFonts w:ascii="Arial" w:hAnsi="Arial" w:cs="Arial"/>
          <w:sz w:val="24"/>
          <w:szCs w:val="24"/>
        </w:rPr>
        <w:t xml:space="preserve">. </w:t>
      </w:r>
    </w:p>
    <w:p w:rsidR="00E2476C" w:rsidRPr="000244A2" w:rsidP="000244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76C" w:rsidRPr="000244A2" w:rsidP="000244A2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 xml:space="preserve">Autoria: </w:t>
      </w:r>
      <w:r w:rsidRPr="000244A2" w:rsidR="001C0A57">
        <w:rPr>
          <w:rFonts w:ascii="Arial" w:hAnsi="Arial" w:cs="Arial"/>
          <w:sz w:val="24"/>
          <w:szCs w:val="24"/>
        </w:rPr>
        <w:t>Felipe Corá, Eliel Miranda, Isac Sorrillo e Arnaldo Alves.</w:t>
      </w:r>
    </w:p>
    <w:p w:rsidR="00E2476C" w:rsidRPr="000244A2" w:rsidP="000244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76C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>Rafael Piovezan</w:t>
      </w:r>
      <w:r w:rsidRPr="000244A2">
        <w:rPr>
          <w:rFonts w:ascii="Arial" w:hAnsi="Arial" w:cs="Arial"/>
          <w:sz w:val="24"/>
          <w:szCs w:val="24"/>
        </w:rPr>
        <w:t>, Prefeito do município de Santa Bárbara d’Oeste, Estado de São Paulo, no uso das atribuições que lhe são conferidas por lei, faz saber que a Câmara Municipal aprovou o Projeto de Lei de autoria do</w:t>
      </w:r>
      <w:r w:rsidRPr="000244A2" w:rsidR="001C0A57">
        <w:rPr>
          <w:rFonts w:ascii="Arial" w:hAnsi="Arial" w:cs="Arial"/>
          <w:sz w:val="24"/>
          <w:szCs w:val="24"/>
        </w:rPr>
        <w:t>s</w:t>
      </w:r>
      <w:r w:rsidRPr="000244A2">
        <w:rPr>
          <w:rFonts w:ascii="Arial" w:hAnsi="Arial" w:cs="Arial"/>
          <w:sz w:val="24"/>
          <w:szCs w:val="24"/>
        </w:rPr>
        <w:t xml:space="preserve"> Vereador</w:t>
      </w:r>
      <w:r w:rsidRPr="000244A2" w:rsidR="001C0A57">
        <w:rPr>
          <w:rFonts w:ascii="Arial" w:hAnsi="Arial" w:cs="Arial"/>
          <w:sz w:val="24"/>
          <w:szCs w:val="24"/>
        </w:rPr>
        <w:t>es Felipe Corá,</w:t>
      </w:r>
      <w:r w:rsidRPr="000244A2">
        <w:rPr>
          <w:rFonts w:ascii="Arial" w:hAnsi="Arial" w:cs="Arial"/>
          <w:sz w:val="24"/>
          <w:szCs w:val="24"/>
        </w:rPr>
        <w:t xml:space="preserve"> </w:t>
      </w:r>
      <w:r w:rsidRPr="000244A2">
        <w:rPr>
          <w:rFonts w:ascii="Arial" w:hAnsi="Arial" w:cs="Arial"/>
          <w:sz w:val="24"/>
          <w:szCs w:val="24"/>
        </w:rPr>
        <w:t>Eliel Miranda</w:t>
      </w:r>
      <w:r w:rsidRPr="000244A2" w:rsidR="00016596">
        <w:rPr>
          <w:rFonts w:ascii="Arial" w:hAnsi="Arial" w:cs="Arial"/>
          <w:sz w:val="24"/>
          <w:szCs w:val="24"/>
        </w:rPr>
        <w:t>,</w:t>
      </w:r>
      <w:r w:rsidRPr="000244A2" w:rsidR="001C0A57">
        <w:rPr>
          <w:rFonts w:ascii="Arial" w:hAnsi="Arial" w:cs="Arial"/>
          <w:sz w:val="24"/>
          <w:szCs w:val="24"/>
        </w:rPr>
        <w:t xml:space="preserve"> Isac Sorrillo e Arnaldo Alves</w:t>
      </w:r>
      <w:r w:rsidRPr="000244A2" w:rsidR="00016596">
        <w:rPr>
          <w:rFonts w:ascii="Arial" w:hAnsi="Arial" w:cs="Arial"/>
          <w:sz w:val="24"/>
          <w:szCs w:val="24"/>
        </w:rPr>
        <w:t xml:space="preserve"> e</w:t>
      </w:r>
      <w:r w:rsidRPr="000244A2" w:rsidR="007D505B">
        <w:rPr>
          <w:rFonts w:ascii="Arial" w:hAnsi="Arial" w:cs="Arial"/>
          <w:sz w:val="24"/>
          <w:szCs w:val="24"/>
        </w:rPr>
        <w:t xml:space="preserve"> ele</w:t>
      </w:r>
      <w:r w:rsidRPr="000244A2">
        <w:rPr>
          <w:rFonts w:ascii="Arial" w:hAnsi="Arial" w:cs="Arial"/>
          <w:sz w:val="24"/>
          <w:szCs w:val="24"/>
        </w:rPr>
        <w:t xml:space="preserve"> sanciona e promulga a seguinte Lei:</w:t>
      </w:r>
    </w:p>
    <w:p w:rsidR="00DF4A63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C0A57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 xml:space="preserve">Art. 1º </w:t>
      </w:r>
      <w:r w:rsidRPr="000244A2">
        <w:rPr>
          <w:rFonts w:ascii="Arial" w:hAnsi="Arial" w:cs="Arial"/>
          <w:sz w:val="24"/>
          <w:szCs w:val="24"/>
        </w:rPr>
        <w:t xml:space="preserve">O Município prestará assistência judiciária aos membros da Guarda Civil Municipal que, por conta do exercício de suas funções, forem processados no âmbito civil, criminal ou administrativo. </w:t>
      </w:r>
    </w:p>
    <w:p w:rsidR="00CA5801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C0A57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 xml:space="preserve">§1º - A assistência também compreende: </w:t>
      </w:r>
    </w:p>
    <w:p w:rsidR="00CA5801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C0A57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 xml:space="preserve">I - processos administrativos movidos por ou perante outros entes federativos ou suas autarquias, bem como perante autarquias ou fundações municipais; </w:t>
      </w:r>
    </w:p>
    <w:p w:rsidR="001C0A57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 xml:space="preserve">II - demandas administrativas ou judiciais que a família do membro da Guarda Civil Municipal tiver em virtude do processo sofrido pelo membro da Guarda Civil Municipal; </w:t>
      </w:r>
    </w:p>
    <w:p w:rsidR="001C0A57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 xml:space="preserve">III - demandas administrativas ou judiciais que o membro da GCM ou sua família tiver em virtude de falecimento ou invalidez, desde que decorrentes do exercício das funções do cargo. </w:t>
      </w:r>
    </w:p>
    <w:p w:rsidR="00CA5801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C0A57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>§2º - A assistência inclui, além dos advogados, o pagamento de eventuais custas processuais, inclusive recursais.</w:t>
      </w:r>
    </w:p>
    <w:p w:rsidR="00284848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16596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>§3º - O dever de prestar assistência de que trata esta Lei independe da concessão do benefício da Justiça gratuita.</w:t>
      </w:r>
    </w:p>
    <w:p w:rsidR="00CA5801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C0A57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>Art. 2º - O membro da GCM fica isento de qualquer ressarcimento ao Município a título de custas ou honorários de advogados, independentemente do resultado do processo.</w:t>
      </w:r>
    </w:p>
    <w:p w:rsidR="00CA5801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C0A57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 xml:space="preserve"> Parágrafo único - Se houver condenação judicial em custas e honorários em favor do membro da GCM, estas pertencerão, respectivamente, ao Município e aos seus advogados. </w:t>
      </w:r>
    </w:p>
    <w:p w:rsidR="00CA5801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C0A57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>Art. 3º - A obrigação descrita nesta Lei subsiste ainda que o membro da GCM tenha se aposentado ou falecido.</w:t>
      </w:r>
    </w:p>
    <w:p w:rsidR="00CA5801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C0A57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 xml:space="preserve">Art. 4º - Para prestar o serviço de advocacia, o Município poderá: </w:t>
      </w:r>
    </w:p>
    <w:p w:rsidR="00CA5801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C0A57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 xml:space="preserve">I - designar tal função aos Procuradores do Município, por meio de lei de iniciativa do Prefeito ou ato do Prefeito; </w:t>
      </w:r>
    </w:p>
    <w:p w:rsidR="001C0A57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>II - contratar escritórios de advocacia, observando as regras de licitação e a disponibilidade orçamentária.</w:t>
      </w:r>
    </w:p>
    <w:p w:rsidR="00CA5801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C0A57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>Art. 5º - Esta Lei entra em vigor um ano após a sua publicação.</w:t>
      </w:r>
    </w:p>
    <w:p w:rsidR="001C0A57" w:rsidRPr="000244A2" w:rsidP="000244A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2476C" w:rsidRPr="000244A2" w:rsidP="000244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>Ple</w:t>
      </w:r>
      <w:r w:rsidRPr="000244A2" w:rsidR="00411541">
        <w:rPr>
          <w:rFonts w:ascii="Arial" w:hAnsi="Arial" w:cs="Arial"/>
          <w:sz w:val="24"/>
          <w:szCs w:val="24"/>
        </w:rPr>
        <w:t>n</w:t>
      </w:r>
      <w:r w:rsidRPr="000244A2" w:rsidR="009F53D3">
        <w:rPr>
          <w:rFonts w:ascii="Arial" w:hAnsi="Arial" w:cs="Arial"/>
          <w:sz w:val="24"/>
          <w:szCs w:val="24"/>
        </w:rPr>
        <w:t xml:space="preserve">ário “Dr. Tancredo Neves”, em </w:t>
      </w:r>
      <w:r w:rsidRPr="000244A2" w:rsidR="00016596">
        <w:rPr>
          <w:rFonts w:ascii="Arial" w:hAnsi="Arial" w:cs="Arial"/>
          <w:sz w:val="24"/>
          <w:szCs w:val="24"/>
        </w:rPr>
        <w:t>1</w:t>
      </w:r>
      <w:r w:rsidR="000244A2">
        <w:rPr>
          <w:rFonts w:ascii="Arial" w:hAnsi="Arial" w:cs="Arial"/>
          <w:sz w:val="24"/>
          <w:szCs w:val="24"/>
        </w:rPr>
        <w:t>3</w:t>
      </w:r>
      <w:r w:rsidRPr="000244A2" w:rsidR="00C11C5E">
        <w:rPr>
          <w:rFonts w:ascii="Arial" w:hAnsi="Arial" w:cs="Arial"/>
          <w:sz w:val="24"/>
          <w:szCs w:val="24"/>
        </w:rPr>
        <w:t xml:space="preserve"> </w:t>
      </w:r>
      <w:r w:rsidRPr="000244A2">
        <w:rPr>
          <w:rFonts w:ascii="Arial" w:hAnsi="Arial" w:cs="Arial"/>
          <w:sz w:val="24"/>
          <w:szCs w:val="24"/>
        </w:rPr>
        <w:t>de</w:t>
      </w:r>
      <w:r w:rsidR="000244A2">
        <w:rPr>
          <w:rFonts w:ascii="Arial" w:hAnsi="Arial" w:cs="Arial"/>
          <w:sz w:val="24"/>
          <w:szCs w:val="24"/>
        </w:rPr>
        <w:t xml:space="preserve"> maio</w:t>
      </w:r>
      <w:r w:rsidRPr="000244A2" w:rsidR="00C11C5E">
        <w:rPr>
          <w:rFonts w:ascii="Arial" w:hAnsi="Arial" w:cs="Arial"/>
          <w:sz w:val="24"/>
          <w:szCs w:val="24"/>
        </w:rPr>
        <w:t xml:space="preserve"> </w:t>
      </w:r>
      <w:r w:rsidRPr="000244A2">
        <w:rPr>
          <w:rFonts w:ascii="Arial" w:hAnsi="Arial" w:cs="Arial"/>
          <w:sz w:val="24"/>
          <w:szCs w:val="24"/>
        </w:rPr>
        <w:t>de 2.0</w:t>
      </w:r>
      <w:r w:rsidRPr="000244A2" w:rsidR="00411541">
        <w:rPr>
          <w:rFonts w:ascii="Arial" w:hAnsi="Arial" w:cs="Arial"/>
          <w:sz w:val="24"/>
          <w:szCs w:val="24"/>
        </w:rPr>
        <w:t>21</w:t>
      </w:r>
      <w:r w:rsidRPr="000244A2">
        <w:rPr>
          <w:rFonts w:ascii="Arial" w:hAnsi="Arial" w:cs="Arial"/>
          <w:sz w:val="24"/>
          <w:szCs w:val="24"/>
        </w:rPr>
        <w:t>.</w:t>
      </w:r>
    </w:p>
    <w:p w:rsidR="00E2476C" w:rsidRPr="000244A2" w:rsidP="000244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76C" w:rsidP="000244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244A2" w:rsidRPr="000244A2" w:rsidP="000244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4848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44A2">
        <w:rPr>
          <w:rFonts w:ascii="Arial" w:hAnsi="Arial" w:cs="Arial"/>
          <w:b/>
          <w:sz w:val="24"/>
          <w:szCs w:val="24"/>
        </w:rPr>
        <w:t xml:space="preserve">FELIPE CORÁ </w:t>
      </w:r>
    </w:p>
    <w:p w:rsidR="00284848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44A2">
        <w:rPr>
          <w:rFonts w:ascii="Arial" w:hAnsi="Arial" w:cs="Arial"/>
          <w:b/>
          <w:sz w:val="24"/>
          <w:szCs w:val="24"/>
        </w:rPr>
        <w:t>-vereador-</w:t>
      </w:r>
    </w:p>
    <w:p w:rsidR="00284848" w:rsidP="000244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244A2" w:rsidP="000244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244A2" w:rsidRPr="000244A2" w:rsidP="000244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76C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44A2">
        <w:rPr>
          <w:rFonts w:ascii="Arial" w:hAnsi="Arial" w:cs="Arial"/>
          <w:b/>
          <w:sz w:val="24"/>
          <w:szCs w:val="24"/>
        </w:rPr>
        <w:t>ELIEL MIRANDA</w:t>
      </w:r>
    </w:p>
    <w:p w:rsidR="00E2476C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44A2">
        <w:rPr>
          <w:rFonts w:ascii="Arial" w:hAnsi="Arial" w:cs="Arial"/>
          <w:b/>
          <w:sz w:val="24"/>
          <w:szCs w:val="24"/>
        </w:rPr>
        <w:t>-vereador-</w:t>
      </w:r>
    </w:p>
    <w:p w:rsid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244A2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4848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44A2">
        <w:rPr>
          <w:rFonts w:ascii="Arial" w:hAnsi="Arial" w:cs="Arial"/>
          <w:b/>
          <w:sz w:val="24"/>
          <w:szCs w:val="24"/>
        </w:rPr>
        <w:t>ISAC SORRILLO</w:t>
      </w:r>
    </w:p>
    <w:p w:rsidR="00284848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44A2">
        <w:rPr>
          <w:rFonts w:ascii="Arial" w:hAnsi="Arial" w:cs="Arial"/>
          <w:b/>
          <w:sz w:val="24"/>
          <w:szCs w:val="24"/>
        </w:rPr>
        <w:t>-vereador-</w:t>
      </w:r>
    </w:p>
    <w:p w:rsidR="00284848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244A2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4848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4848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44A2">
        <w:rPr>
          <w:rFonts w:ascii="Arial" w:hAnsi="Arial" w:cs="Arial"/>
          <w:b/>
          <w:sz w:val="24"/>
          <w:szCs w:val="24"/>
        </w:rPr>
        <w:t>ARNALDO ALVES</w:t>
      </w:r>
    </w:p>
    <w:p w:rsidR="00284848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44A2">
        <w:rPr>
          <w:rFonts w:ascii="Arial" w:hAnsi="Arial" w:cs="Arial"/>
          <w:b/>
          <w:sz w:val="24"/>
          <w:szCs w:val="24"/>
        </w:rPr>
        <w:t>vereador</w:t>
      </w:r>
    </w:p>
    <w:p w:rsidR="00284848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4848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476C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16596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4848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4848" w:rsidRPr="000244A2" w:rsidP="000244A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F2C97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476C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244A2">
        <w:rPr>
          <w:rFonts w:ascii="Arial" w:hAnsi="Arial" w:cs="Arial"/>
          <w:b/>
          <w:sz w:val="24"/>
          <w:szCs w:val="24"/>
          <w:u w:val="single"/>
        </w:rPr>
        <w:t>EXPOSIÇÃO DE MOTIVOS</w:t>
      </w:r>
    </w:p>
    <w:p w:rsidR="00E2476C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C0A57" w:rsidRPr="000244A2" w:rsidP="000244A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 xml:space="preserve">O presente projeto de lei visa proteger os membros da Guarda Civil Municipal e suas famílias, que, não raro, são processados de forma injusta por conta do exercício de suas funções. De acordo com o projeto, quando um membro da GCM for processado por conta do exercício das suas funções, cabe ao município arcar com as despesas processuais. </w:t>
      </w:r>
    </w:p>
    <w:p w:rsidR="001C0A57" w:rsidRPr="000244A2" w:rsidP="000244A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C0A57" w:rsidRPr="000244A2" w:rsidP="000244A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 xml:space="preserve">Os </w:t>
      </w:r>
      <w:r w:rsidRPr="000244A2">
        <w:rPr>
          <w:rFonts w:ascii="Arial" w:hAnsi="Arial" w:cs="Arial"/>
          <w:sz w:val="24"/>
          <w:szCs w:val="24"/>
        </w:rPr>
        <w:t>GCMs</w:t>
      </w:r>
      <w:r w:rsidRPr="000244A2">
        <w:rPr>
          <w:rFonts w:ascii="Arial" w:hAnsi="Arial" w:cs="Arial"/>
          <w:sz w:val="24"/>
          <w:szCs w:val="24"/>
        </w:rPr>
        <w:t xml:space="preserve">, além de terem baixa remuneração, ainda são forçados a contratar advogados ou contar com assistência de entidades associativas para se defender, o que configura grave injustiça, já que as acusações decorrem do exercício da sua função em prol do Município. </w:t>
      </w:r>
    </w:p>
    <w:p w:rsidR="001C0A57" w:rsidRPr="000244A2" w:rsidP="000244A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C0A57" w:rsidRPr="000244A2" w:rsidP="000244A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 xml:space="preserve">O art. 1º do projeto estabelece a obrigação do Município de defender os </w:t>
      </w:r>
      <w:r w:rsidRPr="000244A2">
        <w:rPr>
          <w:rFonts w:ascii="Arial" w:hAnsi="Arial" w:cs="Arial"/>
          <w:sz w:val="24"/>
          <w:szCs w:val="24"/>
        </w:rPr>
        <w:t>GCMs</w:t>
      </w:r>
      <w:r w:rsidRPr="000244A2">
        <w:rPr>
          <w:rFonts w:ascii="Arial" w:hAnsi="Arial" w:cs="Arial"/>
          <w:sz w:val="24"/>
          <w:szCs w:val="24"/>
        </w:rPr>
        <w:t xml:space="preserve">, sempre que o processo decorrer do exercício das suas funções. </w:t>
      </w:r>
    </w:p>
    <w:p w:rsidR="001C0A57" w:rsidRPr="000244A2" w:rsidP="000244A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C0A57" w:rsidRPr="000244A2" w:rsidP="000244A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>O §1º visa proteger suas famílias, inclusive em litígios perante a Justiça Federal com relação a questões previdenciárias que podem advir de eventual prisão de GCM, bem como questões atinentes à responsabilização civil e eventuais impactos que dela advém.</w:t>
      </w:r>
    </w:p>
    <w:p w:rsidR="001C0A57" w:rsidRPr="000244A2" w:rsidP="000244A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A5801" w:rsidRPr="000244A2" w:rsidP="000244A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 xml:space="preserve">O art. 2º estabelece que os </w:t>
      </w:r>
      <w:r w:rsidRPr="000244A2">
        <w:rPr>
          <w:rFonts w:ascii="Arial" w:hAnsi="Arial" w:cs="Arial"/>
          <w:sz w:val="24"/>
          <w:szCs w:val="24"/>
        </w:rPr>
        <w:t>GCMs</w:t>
      </w:r>
      <w:r w:rsidRPr="000244A2">
        <w:rPr>
          <w:rFonts w:ascii="Arial" w:hAnsi="Arial" w:cs="Arial"/>
          <w:sz w:val="24"/>
          <w:szCs w:val="24"/>
        </w:rPr>
        <w:t xml:space="preserve"> não deverão ao Município os valores pagos a título de honorários e custas, independentemente do resultado do processo. Evidentemente, se, no curso do processo, houver condenação de custas e honorários da parte que litiga com o GCM, as custas pertencerão ao município (já que foi ele quem com elas arcou) e os honorários aos advogados contratados pelo Município, isto, aliás, condiz com o disposto no art. 23 da Lei federal 8.906 de 1994. </w:t>
      </w:r>
    </w:p>
    <w:p w:rsidR="00CA5801" w:rsidRPr="000244A2" w:rsidP="000244A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A5801" w:rsidRPr="000244A2" w:rsidP="000244A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 xml:space="preserve">O art. 3º mantém a obrigação do Município de prover defesa mesmo que o GCM tenha se aposentado ou falecido. Não seria justo que, por exercer o direito à aposentadoria, o GCM não tenha mais direito à proteção legal que um GCM da ativa tem. </w:t>
      </w:r>
    </w:p>
    <w:p w:rsidR="00CA5801" w:rsidRPr="000244A2" w:rsidP="000244A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A5801" w:rsidRPr="000244A2" w:rsidP="000244A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 xml:space="preserve"> O art. 4º dispõe da forma como o Município pode prover assistência de advogado. Deixamos ao poder Executivo </w:t>
      </w:r>
      <w:r w:rsidRPr="000244A2">
        <w:rPr>
          <w:rFonts w:ascii="Arial" w:hAnsi="Arial" w:cs="Arial"/>
          <w:sz w:val="24"/>
          <w:szCs w:val="24"/>
        </w:rPr>
        <w:t>escolher se isto será feito pelos</w:t>
      </w:r>
      <w:r w:rsidRPr="000244A2">
        <w:rPr>
          <w:rFonts w:ascii="Arial" w:hAnsi="Arial" w:cs="Arial"/>
          <w:sz w:val="24"/>
          <w:szCs w:val="24"/>
        </w:rPr>
        <w:t xml:space="preserve"> </w:t>
      </w:r>
      <w:r w:rsidRPr="000244A2">
        <w:rPr>
          <w:rFonts w:ascii="Arial" w:hAnsi="Arial" w:cs="Arial"/>
          <w:sz w:val="24"/>
          <w:szCs w:val="24"/>
        </w:rPr>
        <w:t xml:space="preserve">Procuradores do Município </w:t>
      </w:r>
      <w:r w:rsidRPr="000244A2">
        <w:rPr>
          <w:rFonts w:ascii="Arial" w:hAnsi="Arial" w:cs="Arial"/>
          <w:sz w:val="24"/>
          <w:szCs w:val="24"/>
        </w:rPr>
        <w:t xml:space="preserve">ou por escritório de advocacia, mas, neste último caso, deve ser usado o procedimento de licitação, a fim de resguardar a impessoalidade. Se o </w:t>
      </w:r>
      <w:r w:rsidRPr="000244A2">
        <w:rPr>
          <w:rFonts w:ascii="Arial" w:hAnsi="Arial" w:cs="Arial"/>
          <w:sz w:val="24"/>
          <w:szCs w:val="24"/>
        </w:rPr>
        <w:t>Município designar os Procuradores do Município como responsáveis</w:t>
      </w:r>
      <w:r w:rsidRPr="000244A2">
        <w:rPr>
          <w:rFonts w:ascii="Arial" w:hAnsi="Arial" w:cs="Arial"/>
          <w:sz w:val="24"/>
          <w:szCs w:val="24"/>
        </w:rPr>
        <w:t xml:space="preserve"> pela assistência jurídica, o prefeito deverá enviar projeto de lei neste sentido à Câmara Municipal, por conta da iniciativa exclusiva do prefeito para enviar projetos de lei de organização administrativa, nos termos do art. 37 da Lei Orgânica Municipal. </w:t>
      </w:r>
    </w:p>
    <w:p w:rsidR="00CA5801" w:rsidRPr="000244A2" w:rsidP="000244A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16596" w:rsidRPr="000244A2" w:rsidP="000244A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>A fim de defender a GCM, pedimos a aprovação deste projeto pelos eminentes vereadores.</w:t>
      </w:r>
    </w:p>
    <w:p w:rsidR="00FE5E32" w:rsidRPr="000244A2" w:rsidP="000244A2">
      <w:pPr>
        <w:spacing w:line="360" w:lineRule="auto"/>
        <w:ind w:firstLine="2268"/>
        <w:jc w:val="center"/>
        <w:rPr>
          <w:rFonts w:ascii="Arial" w:hAnsi="Arial" w:cs="Arial"/>
          <w:sz w:val="24"/>
          <w:szCs w:val="24"/>
        </w:rPr>
      </w:pPr>
    </w:p>
    <w:p w:rsidR="00E2476C" w:rsidRPr="000244A2" w:rsidP="000244A2">
      <w:pPr>
        <w:spacing w:line="360" w:lineRule="auto"/>
        <w:ind w:firstLine="1701"/>
        <w:rPr>
          <w:rFonts w:ascii="Arial" w:hAnsi="Arial" w:cs="Arial"/>
          <w:sz w:val="24"/>
          <w:szCs w:val="24"/>
        </w:rPr>
      </w:pPr>
      <w:r w:rsidRPr="000244A2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0244A2" w:rsidR="00016596">
        <w:rPr>
          <w:rFonts w:ascii="Arial" w:hAnsi="Arial" w:cs="Arial"/>
          <w:sz w:val="24"/>
          <w:szCs w:val="24"/>
        </w:rPr>
        <w:t>1</w:t>
      </w:r>
      <w:r w:rsidRPr="000244A2" w:rsidR="00CA5801">
        <w:rPr>
          <w:rFonts w:ascii="Arial" w:hAnsi="Arial" w:cs="Arial"/>
          <w:sz w:val="24"/>
          <w:szCs w:val="24"/>
        </w:rPr>
        <w:t>3</w:t>
      </w:r>
      <w:r w:rsidRPr="000244A2" w:rsidR="00991F06">
        <w:rPr>
          <w:rFonts w:ascii="Arial" w:hAnsi="Arial" w:cs="Arial"/>
          <w:sz w:val="24"/>
          <w:szCs w:val="24"/>
        </w:rPr>
        <w:t xml:space="preserve"> </w:t>
      </w:r>
      <w:r w:rsidRPr="000244A2">
        <w:rPr>
          <w:rFonts w:ascii="Arial" w:hAnsi="Arial" w:cs="Arial"/>
          <w:sz w:val="24"/>
          <w:szCs w:val="24"/>
        </w:rPr>
        <w:t xml:space="preserve">de </w:t>
      </w:r>
      <w:r w:rsidRPr="000244A2" w:rsidR="00CA5801">
        <w:rPr>
          <w:rFonts w:ascii="Arial" w:hAnsi="Arial" w:cs="Arial"/>
          <w:sz w:val="24"/>
          <w:szCs w:val="24"/>
        </w:rPr>
        <w:t>maio</w:t>
      </w:r>
      <w:r w:rsidRPr="000244A2" w:rsidR="00991F06">
        <w:rPr>
          <w:rFonts w:ascii="Arial" w:hAnsi="Arial" w:cs="Arial"/>
          <w:sz w:val="24"/>
          <w:szCs w:val="24"/>
        </w:rPr>
        <w:t xml:space="preserve"> </w:t>
      </w:r>
      <w:r w:rsidRPr="000244A2">
        <w:rPr>
          <w:rFonts w:ascii="Arial" w:hAnsi="Arial" w:cs="Arial"/>
          <w:sz w:val="24"/>
          <w:szCs w:val="24"/>
        </w:rPr>
        <w:t>de 2.0</w:t>
      </w:r>
      <w:r w:rsidRPr="000244A2" w:rsidR="00DF4A63">
        <w:rPr>
          <w:rFonts w:ascii="Arial" w:hAnsi="Arial" w:cs="Arial"/>
          <w:sz w:val="24"/>
          <w:szCs w:val="24"/>
        </w:rPr>
        <w:t>21</w:t>
      </w:r>
      <w:r w:rsidRPr="000244A2">
        <w:rPr>
          <w:rFonts w:ascii="Arial" w:hAnsi="Arial" w:cs="Arial"/>
          <w:sz w:val="24"/>
          <w:szCs w:val="24"/>
        </w:rPr>
        <w:t>.</w:t>
      </w:r>
    </w:p>
    <w:p w:rsidR="007F2C97" w:rsidRPr="000244A2" w:rsidP="000244A2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84848" w:rsidP="000244A2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244A2" w:rsidRPr="000244A2" w:rsidP="000244A2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84848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44A2">
        <w:rPr>
          <w:rFonts w:ascii="Arial" w:hAnsi="Arial" w:cs="Arial"/>
          <w:b/>
          <w:sz w:val="24"/>
          <w:szCs w:val="24"/>
        </w:rPr>
        <w:t xml:space="preserve">FELIPE CORÁ </w:t>
      </w:r>
    </w:p>
    <w:p w:rsidR="00284848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44A2">
        <w:rPr>
          <w:rFonts w:ascii="Arial" w:hAnsi="Arial" w:cs="Arial"/>
          <w:b/>
          <w:sz w:val="24"/>
          <w:szCs w:val="24"/>
        </w:rPr>
        <w:t>-vereador-</w:t>
      </w:r>
    </w:p>
    <w:p w:rsidR="00284848" w:rsidRPr="000244A2" w:rsidP="000244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4848" w:rsidRPr="000244A2" w:rsidP="000244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4848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44A2">
        <w:rPr>
          <w:rFonts w:ascii="Arial" w:hAnsi="Arial" w:cs="Arial"/>
          <w:b/>
          <w:sz w:val="24"/>
          <w:szCs w:val="24"/>
        </w:rPr>
        <w:t>ELIEL MIRANDA</w:t>
      </w:r>
    </w:p>
    <w:p w:rsidR="00284848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44A2">
        <w:rPr>
          <w:rFonts w:ascii="Arial" w:hAnsi="Arial" w:cs="Arial"/>
          <w:b/>
          <w:sz w:val="24"/>
          <w:szCs w:val="24"/>
        </w:rPr>
        <w:t>-vereador-</w:t>
      </w:r>
    </w:p>
    <w:p w:rsidR="00284848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4848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4848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44A2">
        <w:rPr>
          <w:rFonts w:ascii="Arial" w:hAnsi="Arial" w:cs="Arial"/>
          <w:b/>
          <w:sz w:val="24"/>
          <w:szCs w:val="24"/>
        </w:rPr>
        <w:t>ISAC SORRILLO</w:t>
      </w:r>
    </w:p>
    <w:p w:rsidR="00284848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44A2">
        <w:rPr>
          <w:rFonts w:ascii="Arial" w:hAnsi="Arial" w:cs="Arial"/>
          <w:b/>
          <w:sz w:val="24"/>
          <w:szCs w:val="24"/>
        </w:rPr>
        <w:t>-vereador-</w:t>
      </w:r>
    </w:p>
    <w:p w:rsidR="00284848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244A2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4848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4848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44A2">
        <w:rPr>
          <w:rFonts w:ascii="Arial" w:hAnsi="Arial" w:cs="Arial"/>
          <w:b/>
          <w:sz w:val="24"/>
          <w:szCs w:val="24"/>
        </w:rPr>
        <w:t>ARNALDO ALVES</w:t>
      </w:r>
    </w:p>
    <w:p w:rsidR="00016596" w:rsidRPr="000244A2" w:rsidP="000244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44A2">
        <w:rPr>
          <w:rFonts w:ascii="Arial" w:hAnsi="Arial" w:cs="Arial"/>
          <w:b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3055093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043283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376766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46"/>
    <w:rsid w:val="000006A8"/>
    <w:rsid w:val="00016596"/>
    <w:rsid w:val="00017A84"/>
    <w:rsid w:val="000244A2"/>
    <w:rsid w:val="000517EA"/>
    <w:rsid w:val="00092CF8"/>
    <w:rsid w:val="001122CD"/>
    <w:rsid w:val="00165DF4"/>
    <w:rsid w:val="00177B46"/>
    <w:rsid w:val="001A7EB9"/>
    <w:rsid w:val="001B478A"/>
    <w:rsid w:val="001C0A57"/>
    <w:rsid w:val="001D1394"/>
    <w:rsid w:val="00246171"/>
    <w:rsid w:val="00280063"/>
    <w:rsid w:val="00282FE8"/>
    <w:rsid w:val="00284848"/>
    <w:rsid w:val="002C6732"/>
    <w:rsid w:val="0033648A"/>
    <w:rsid w:val="00373483"/>
    <w:rsid w:val="00374456"/>
    <w:rsid w:val="003D3AA8"/>
    <w:rsid w:val="003D4860"/>
    <w:rsid w:val="003E60B5"/>
    <w:rsid w:val="00401A11"/>
    <w:rsid w:val="00411541"/>
    <w:rsid w:val="00414B46"/>
    <w:rsid w:val="004438A8"/>
    <w:rsid w:val="00454EAC"/>
    <w:rsid w:val="0049057E"/>
    <w:rsid w:val="004B57DB"/>
    <w:rsid w:val="004C67DE"/>
    <w:rsid w:val="005C059C"/>
    <w:rsid w:val="005F1601"/>
    <w:rsid w:val="006657A6"/>
    <w:rsid w:val="00705ABB"/>
    <w:rsid w:val="0077514C"/>
    <w:rsid w:val="00775F22"/>
    <w:rsid w:val="007D505B"/>
    <w:rsid w:val="007E1EA6"/>
    <w:rsid w:val="007F2C97"/>
    <w:rsid w:val="008B427A"/>
    <w:rsid w:val="00927F49"/>
    <w:rsid w:val="00991F06"/>
    <w:rsid w:val="009D1CB4"/>
    <w:rsid w:val="009E0B79"/>
    <w:rsid w:val="009E7FC3"/>
    <w:rsid w:val="009F196D"/>
    <w:rsid w:val="009F53D3"/>
    <w:rsid w:val="00A13D56"/>
    <w:rsid w:val="00A50676"/>
    <w:rsid w:val="00A71CAF"/>
    <w:rsid w:val="00A9035B"/>
    <w:rsid w:val="00AA79E8"/>
    <w:rsid w:val="00AE702A"/>
    <w:rsid w:val="00C10BC7"/>
    <w:rsid w:val="00C11C5E"/>
    <w:rsid w:val="00C641BA"/>
    <w:rsid w:val="00C87EFC"/>
    <w:rsid w:val="00CA5801"/>
    <w:rsid w:val="00CD613B"/>
    <w:rsid w:val="00CE55F5"/>
    <w:rsid w:val="00CF7F49"/>
    <w:rsid w:val="00D26CB3"/>
    <w:rsid w:val="00D37B1B"/>
    <w:rsid w:val="00DE6295"/>
    <w:rsid w:val="00DF4A63"/>
    <w:rsid w:val="00E2476C"/>
    <w:rsid w:val="00E31BB5"/>
    <w:rsid w:val="00E429BD"/>
    <w:rsid w:val="00E61FF7"/>
    <w:rsid w:val="00E903BB"/>
    <w:rsid w:val="00EB6BF9"/>
    <w:rsid w:val="00EB7C26"/>
    <w:rsid w:val="00EB7D7D"/>
    <w:rsid w:val="00ED121B"/>
    <w:rsid w:val="00EE7983"/>
    <w:rsid w:val="00F16623"/>
    <w:rsid w:val="00FA1EB8"/>
    <w:rsid w:val="00FD5CE1"/>
    <w:rsid w:val="00FE5E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92</TotalTime>
  <Pages>6</Pages>
  <Words>828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Eliel Miranda</cp:lastModifiedBy>
  <cp:revision>4</cp:revision>
  <cp:lastPrinted>2016-12-19T12:04:00Z</cp:lastPrinted>
  <dcterms:created xsi:type="dcterms:W3CDTF">2021-05-13T15:15:00Z</dcterms:created>
  <dcterms:modified xsi:type="dcterms:W3CDTF">2021-05-13T17:24:00Z</dcterms:modified>
</cp:coreProperties>
</file>