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71082E">
      <w:pPr>
        <w:ind w:left="453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D797E">
        <w:rPr>
          <w:rFonts w:ascii="Arial" w:hAnsi="Arial" w:cs="Arial"/>
          <w:sz w:val="24"/>
          <w:szCs w:val="24"/>
        </w:rPr>
        <w:t xml:space="preserve">Sugere ao Poder Executivo Municipal </w:t>
      </w:r>
      <w:r w:rsidR="003B595F">
        <w:rPr>
          <w:rFonts w:ascii="Arial" w:hAnsi="Arial" w:cs="Arial"/>
          <w:sz w:val="24"/>
          <w:szCs w:val="24"/>
        </w:rPr>
        <w:t>um urgente “estudo técnico” e em seguida que seja</w:t>
      </w:r>
      <w:r>
        <w:rPr>
          <w:rFonts w:ascii="Arial" w:hAnsi="Arial" w:cs="Arial"/>
          <w:sz w:val="24"/>
          <w:szCs w:val="24"/>
        </w:rPr>
        <w:t>m</w:t>
      </w:r>
      <w:r w:rsidR="003B595F">
        <w:rPr>
          <w:rFonts w:ascii="Arial" w:hAnsi="Arial" w:cs="Arial"/>
          <w:sz w:val="24"/>
          <w:szCs w:val="24"/>
        </w:rPr>
        <w:t xml:space="preserve"> viabilizadas </w:t>
      </w:r>
      <w:r w:rsidRPr="00835CE7" w:rsidR="00835CE7">
        <w:rPr>
          <w:rFonts w:ascii="Arial" w:hAnsi="Arial" w:cs="Arial"/>
          <w:sz w:val="24"/>
          <w:szCs w:val="24"/>
        </w:rPr>
        <w:t>manutenção</w:t>
      </w:r>
      <w:r w:rsidR="003B595F">
        <w:rPr>
          <w:rFonts w:ascii="Arial" w:hAnsi="Arial" w:cs="Arial"/>
          <w:sz w:val="24"/>
          <w:szCs w:val="24"/>
        </w:rPr>
        <w:t xml:space="preserve">, revitalização, entre outros, no Jardim Firenze, (atrás do novo terminal rodoviário), </w:t>
      </w:r>
      <w:bookmarkStart w:id="0" w:name="_GoBack"/>
      <w:bookmarkEnd w:id="0"/>
      <w:r w:rsidR="00763ABA">
        <w:rPr>
          <w:rFonts w:ascii="Arial" w:hAnsi="Arial" w:cs="Arial"/>
          <w:sz w:val="24"/>
          <w:szCs w:val="24"/>
        </w:rPr>
        <w:t>n</w:t>
      </w:r>
      <w:r w:rsidR="00077ED2">
        <w:rPr>
          <w:rFonts w:ascii="Arial" w:hAnsi="Arial" w:cs="Arial"/>
          <w:sz w:val="24"/>
          <w:szCs w:val="24"/>
        </w:rPr>
        <w:t>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35CE7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E7" w:rsidP="00835C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seja realizad</w:t>
      </w:r>
      <w:r w:rsidR="003B595F">
        <w:rPr>
          <w:rFonts w:ascii="Arial" w:hAnsi="Arial" w:cs="Arial"/>
          <w:bCs/>
          <w:sz w:val="24"/>
          <w:szCs w:val="24"/>
        </w:rPr>
        <w:t>o um estudo técnico e em seguida uma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5CE7">
        <w:rPr>
          <w:rFonts w:ascii="Arial" w:hAnsi="Arial" w:cs="Arial"/>
          <w:sz w:val="24"/>
          <w:szCs w:val="24"/>
        </w:rPr>
        <w:t>manutenção</w:t>
      </w:r>
      <w:r w:rsidR="003B595F">
        <w:rPr>
          <w:rFonts w:ascii="Arial" w:hAnsi="Arial" w:cs="Arial"/>
          <w:sz w:val="24"/>
          <w:szCs w:val="24"/>
        </w:rPr>
        <w:t>, revitalização, entre outros de necessidade,</w:t>
      </w:r>
      <w:r w:rsidRPr="00835CE7">
        <w:rPr>
          <w:rFonts w:ascii="Arial" w:hAnsi="Arial" w:cs="Arial"/>
          <w:sz w:val="24"/>
          <w:szCs w:val="24"/>
        </w:rPr>
        <w:t xml:space="preserve"> na área </w:t>
      </w:r>
      <w:r w:rsidR="003B595F">
        <w:rPr>
          <w:rFonts w:ascii="Arial" w:hAnsi="Arial" w:cs="Arial"/>
          <w:sz w:val="24"/>
          <w:szCs w:val="24"/>
        </w:rPr>
        <w:t>que compreende o Jardim Firenze, atrás do novo terminal rodoviário, neste município.</w:t>
      </w:r>
    </w:p>
    <w:p w:rsidR="00835CE7" w:rsidP="00835CE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B595F" w:rsidP="003B595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5B5F09">
        <w:rPr>
          <w:rFonts w:ascii="Arial" w:hAnsi="Arial" w:cs="Arial"/>
          <w:sz w:val="24"/>
          <w:szCs w:val="24"/>
        </w:rPr>
        <w:t>É d</w:t>
      </w:r>
      <w:r>
        <w:rPr>
          <w:rFonts w:ascii="Arial" w:hAnsi="Arial" w:cs="Arial"/>
          <w:sz w:val="24"/>
          <w:szCs w:val="24"/>
        </w:rPr>
        <w:t>e total necessidade e urgência um estudo técnico e em seguida a revitalização, construção de calçadas, inclusão e manutenção de faixas de pedestre, retirada de mato alto, entre outras necessidades que</w:t>
      </w:r>
      <w:r w:rsidR="0071082E">
        <w:rPr>
          <w:rFonts w:ascii="Arial" w:hAnsi="Arial" w:cs="Arial"/>
          <w:sz w:val="24"/>
          <w:szCs w:val="24"/>
        </w:rPr>
        <w:t xml:space="preserve"> serão constatadas</w:t>
      </w:r>
      <w:r>
        <w:rPr>
          <w:rFonts w:ascii="Arial" w:hAnsi="Arial" w:cs="Arial"/>
          <w:sz w:val="24"/>
          <w:szCs w:val="24"/>
        </w:rPr>
        <w:t xml:space="preserve"> </w:t>
      </w:r>
      <w:r w:rsidR="0071082E">
        <w:rPr>
          <w:rFonts w:ascii="Arial" w:hAnsi="Arial" w:cs="Arial"/>
          <w:sz w:val="24"/>
          <w:szCs w:val="24"/>
        </w:rPr>
        <w:t>através</w:t>
      </w:r>
      <w:r w:rsidR="00A709C0">
        <w:rPr>
          <w:rFonts w:ascii="Arial" w:hAnsi="Arial" w:cs="Arial"/>
          <w:sz w:val="24"/>
          <w:szCs w:val="24"/>
        </w:rPr>
        <w:t xml:space="preserve"> do referido estudo</w:t>
      </w:r>
      <w:r>
        <w:rPr>
          <w:rFonts w:ascii="Arial" w:hAnsi="Arial" w:cs="Arial"/>
          <w:sz w:val="24"/>
          <w:szCs w:val="24"/>
        </w:rPr>
        <w:t xml:space="preserve">, que é extremamente necessário </w:t>
      </w:r>
      <w:r w:rsidR="0071082E">
        <w:rPr>
          <w:rFonts w:ascii="Arial" w:hAnsi="Arial" w:cs="Arial"/>
          <w:sz w:val="24"/>
          <w:szCs w:val="24"/>
        </w:rPr>
        <w:t>para melhor planejamento daquela região.</w:t>
      </w:r>
    </w:p>
    <w:p w:rsidR="003B595F" w:rsidP="003B595F">
      <w:pPr>
        <w:jc w:val="both"/>
        <w:rPr>
          <w:rFonts w:ascii="Arial" w:hAnsi="Arial" w:cs="Arial"/>
          <w:sz w:val="24"/>
          <w:szCs w:val="24"/>
        </w:rPr>
      </w:pPr>
    </w:p>
    <w:p w:rsidR="003B595F" w:rsidRPr="003B595F" w:rsidP="003B595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3B595F">
        <w:rPr>
          <w:rFonts w:ascii="Arial" w:hAnsi="Arial" w:cs="Arial"/>
          <w:sz w:val="24"/>
          <w:szCs w:val="24"/>
        </w:rPr>
        <w:t>O bairro cresce</w:t>
      </w:r>
      <w:r w:rsidR="00A709C0">
        <w:rPr>
          <w:rFonts w:ascii="Arial" w:hAnsi="Arial" w:cs="Arial"/>
          <w:sz w:val="24"/>
          <w:szCs w:val="24"/>
        </w:rPr>
        <w:t xml:space="preserve"> a cada dia</w:t>
      </w:r>
      <w:r w:rsidRPr="003B595F">
        <w:rPr>
          <w:rFonts w:ascii="Arial" w:hAnsi="Arial" w:cs="Arial"/>
          <w:sz w:val="24"/>
          <w:szCs w:val="24"/>
        </w:rPr>
        <w:t xml:space="preserve"> com</w:t>
      </w:r>
      <w:r w:rsidRPr="003B595F">
        <w:rPr>
          <w:rFonts w:ascii="Arial" w:hAnsi="Arial" w:cs="Arial"/>
          <w:sz w:val="24"/>
          <w:szCs w:val="24"/>
        </w:rPr>
        <w:t xml:space="preserve"> </w:t>
      </w:r>
      <w:r w:rsidR="00A709C0">
        <w:rPr>
          <w:rFonts w:ascii="Arial" w:hAnsi="Arial" w:cs="Arial"/>
          <w:sz w:val="24"/>
          <w:szCs w:val="24"/>
        </w:rPr>
        <w:t xml:space="preserve"> </w:t>
      </w:r>
      <w:r w:rsidR="00A709C0">
        <w:rPr>
          <w:rFonts w:ascii="Arial" w:hAnsi="Arial" w:cs="Arial"/>
          <w:sz w:val="24"/>
          <w:szCs w:val="24"/>
        </w:rPr>
        <w:t xml:space="preserve">a construção de </w:t>
      </w:r>
      <w:r w:rsidRPr="003B595F">
        <w:rPr>
          <w:rFonts w:ascii="Arial" w:hAnsi="Arial" w:cs="Arial"/>
          <w:sz w:val="24"/>
          <w:szCs w:val="24"/>
        </w:rPr>
        <w:t>condomínios e</w:t>
      </w:r>
      <w:r w:rsidR="00A709C0">
        <w:rPr>
          <w:rFonts w:ascii="Arial" w:hAnsi="Arial" w:cs="Arial"/>
          <w:sz w:val="24"/>
          <w:szCs w:val="24"/>
        </w:rPr>
        <w:t xml:space="preserve"> abertura de</w:t>
      </w:r>
      <w:r w:rsidRPr="003B595F">
        <w:rPr>
          <w:rFonts w:ascii="Arial" w:hAnsi="Arial" w:cs="Arial"/>
          <w:sz w:val="24"/>
          <w:szCs w:val="24"/>
        </w:rPr>
        <w:t xml:space="preserve"> comércios. O terminal recebe diariamente centenas de pessoas que saem para as ruas sem nenhuma calçada.</w:t>
      </w:r>
      <w:r w:rsidR="001E2F6F">
        <w:rPr>
          <w:rFonts w:ascii="Arial" w:hAnsi="Arial" w:cs="Arial"/>
          <w:sz w:val="24"/>
          <w:szCs w:val="24"/>
        </w:rPr>
        <w:t xml:space="preserve"> Faixas de pedestre que não levam a lugar algum, a não ser em mato alto do outro lado da rua, conforme fotos abaixo.</w:t>
      </w:r>
      <w:r w:rsidRPr="003B595F">
        <w:rPr>
          <w:rFonts w:ascii="Arial" w:hAnsi="Arial" w:cs="Arial"/>
          <w:sz w:val="24"/>
          <w:szCs w:val="24"/>
        </w:rPr>
        <w:t xml:space="preserve"> Moradores dos condomínios não tem segurança para caminhar, já tendo sido registrados vários acidentes</w:t>
      </w:r>
      <w:r w:rsidR="00A709C0">
        <w:rPr>
          <w:rFonts w:ascii="Arial" w:hAnsi="Arial" w:cs="Arial"/>
          <w:sz w:val="24"/>
          <w:szCs w:val="24"/>
        </w:rPr>
        <w:t xml:space="preserve"> no local</w:t>
      </w:r>
      <w:r w:rsidRPr="003B595F">
        <w:rPr>
          <w:rFonts w:ascii="Arial" w:hAnsi="Arial" w:cs="Arial"/>
          <w:sz w:val="24"/>
          <w:szCs w:val="24"/>
        </w:rPr>
        <w:t>. Além do trânsito de veículos, motos, caminhões, uma linha de ônibus circula</w:t>
      </w:r>
      <w:r w:rsidR="0071082E">
        <w:rPr>
          <w:rFonts w:ascii="Arial" w:hAnsi="Arial" w:cs="Arial"/>
          <w:sz w:val="24"/>
          <w:szCs w:val="24"/>
        </w:rPr>
        <w:t xml:space="preserve"> por aquele trecho</w:t>
      </w:r>
      <w:r w:rsidRPr="003B595F">
        <w:rPr>
          <w:rFonts w:ascii="Arial" w:hAnsi="Arial" w:cs="Arial"/>
          <w:sz w:val="24"/>
          <w:szCs w:val="24"/>
        </w:rPr>
        <w:t>, onde existem “ponto</w:t>
      </w:r>
      <w:r w:rsidR="0071082E">
        <w:rPr>
          <w:rFonts w:ascii="Arial" w:hAnsi="Arial" w:cs="Arial"/>
          <w:sz w:val="24"/>
          <w:szCs w:val="24"/>
        </w:rPr>
        <w:t>s</w:t>
      </w:r>
      <w:r w:rsidRPr="003B595F">
        <w:rPr>
          <w:rFonts w:ascii="Arial" w:hAnsi="Arial" w:cs="Arial"/>
          <w:sz w:val="24"/>
          <w:szCs w:val="24"/>
        </w:rPr>
        <w:t xml:space="preserve"> cego</w:t>
      </w:r>
      <w:r w:rsidR="0071082E">
        <w:rPr>
          <w:rFonts w:ascii="Arial" w:hAnsi="Arial" w:cs="Arial"/>
          <w:sz w:val="24"/>
          <w:szCs w:val="24"/>
        </w:rPr>
        <w:t>s</w:t>
      </w:r>
      <w:r w:rsidRPr="003B595F">
        <w:rPr>
          <w:rFonts w:ascii="Arial" w:hAnsi="Arial" w:cs="Arial"/>
          <w:sz w:val="24"/>
          <w:szCs w:val="24"/>
        </w:rPr>
        <w:t>” e riscos eminentes de acidentes com os transeuntes. As fotos abaixo ilustram a presente indicação, comprovando a necessidade de providências:</w:t>
      </w:r>
    </w:p>
    <w:p w:rsidR="00785228" w:rsidRPr="005B5F09" w:rsidP="005B5F0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522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71082E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71082E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71082E" w:rsidP="004A1659">
      <w:pPr>
        <w:pStyle w:val="Heading1"/>
        <w:ind w:left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533650" cy="2305050"/>
            <wp:effectExtent l="0" t="0" r="0" b="0"/>
            <wp:docPr id="12" name="Imagem 12" descr="C:\Users\Tais\Desktop\Processos\Yuri OAB\Imagem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58325" name="Picture 1" descr="C:\Users\Tais\Desktop\Processos\Yuri OAB\Imagem 0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53" cy="23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59" w:rsidP="004A1659">
      <w:pPr>
        <w:pStyle w:val="Heading1"/>
        <w:ind w:left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486025" cy="2305049"/>
            <wp:effectExtent l="0" t="0" r="0" b="635"/>
            <wp:docPr id="13" name="Imagem 13" descr="C:\Users\Tais\Desktop\Processos\Yuri OAB\Imagem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59987" name="Picture 2" descr="C:\Users\Tais\Desktop\Processos\Yuri OAB\Imagem 0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33" cy="23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59" w:rsidP="004A1659">
      <w:pPr>
        <w:pStyle w:val="Heading1"/>
        <w:ind w:left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486025" cy="1924050"/>
            <wp:effectExtent l="0" t="0" r="9525" b="0"/>
            <wp:docPr id="4" name="Imagem 4" descr="C:\Users\Tais\Desktop\Processos\Yuri OAB\Imagem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315593" name="Picture 4" descr="C:\Users\Tais\Desktop\Processos\Yuri OAB\Imagem 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59" w:rsidP="004A1659">
      <w:pPr>
        <w:pStyle w:val="Heading1"/>
        <w:ind w:left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486025" cy="1931501"/>
            <wp:effectExtent l="0" t="0" r="0" b="0"/>
            <wp:docPr id="14" name="Imagem 14" descr="C:\Users\Tais\Desktop\Processos\Yuri OAB\Imagem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87383" name="Picture 3" descr="C:\Users\Tais\Desktop\Processos\Yuri OAB\Imagem 0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3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59" w:rsidP="004A1659">
      <w:pPr>
        <w:pStyle w:val="Heading1"/>
        <w:ind w:left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276475" cy="2324100"/>
            <wp:effectExtent l="0" t="0" r="9525" b="0"/>
            <wp:docPr id="5" name="Imagem 5" descr="C:\Users\Tais\Desktop\Processos\Yuri OAB\Imagem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80106" name="Picture 5" descr="C:\Users\Tais\Desktop\Processos\Yuri OAB\Imagem 0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08" cy="232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59" w:rsidP="004A1659">
      <w:pPr>
        <w:pStyle w:val="Heading1"/>
        <w:ind w:left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276475" cy="2324099"/>
            <wp:effectExtent l="0" t="0" r="0" b="635"/>
            <wp:docPr id="6" name="Imagem 6" descr="C:\Users\Tais\Desktop\Processos\Yuri OAB\Imagem 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16943" name="Picture 6" descr="C:\Users\Tais\Desktop\Processos\Yuri OAB\Imagem 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08" cy="232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59" w:rsidP="004A1659">
      <w:pPr>
        <w:pStyle w:val="Heading1"/>
        <w:ind w:left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324100" cy="2505075"/>
            <wp:effectExtent l="0" t="0" r="0" b="9525"/>
            <wp:docPr id="9" name="Imagem 9" descr="C:\Users\Tais\Desktop\Processos\Yuri OAB\Imagem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90406" name="Picture 9" descr="C:\Users\Tais\Desktop\Processos\Yuri OAB\Imagem 0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39" cy="250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2E" w:rsidRPr="004F4C48" w:rsidP="004A1659">
      <w:pPr>
        <w:pStyle w:val="Heading1"/>
        <w:ind w:left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 xml:space="preserve">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71082E">
        <w:rPr>
          <w:rFonts w:ascii="Arial" w:hAnsi="Arial" w:cs="Arial"/>
          <w:b w:val="0"/>
          <w:sz w:val="24"/>
          <w:szCs w:val="24"/>
        </w:rPr>
        <w:t>30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5B5F09">
        <w:rPr>
          <w:rFonts w:ascii="Arial" w:hAnsi="Arial" w:cs="Arial"/>
          <w:b w:val="0"/>
          <w:sz w:val="24"/>
          <w:szCs w:val="24"/>
        </w:rPr>
        <w:t xml:space="preserve">março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4A165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14D94">
      <w:headerReference w:type="default" r:id="rId11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374880779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883902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244992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E2F6F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B595F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A1659"/>
    <w:rsid w:val="004B01A0"/>
    <w:rsid w:val="004B57DB"/>
    <w:rsid w:val="004C2940"/>
    <w:rsid w:val="004C67DE"/>
    <w:rsid w:val="004C693B"/>
    <w:rsid w:val="004D0156"/>
    <w:rsid w:val="004D2ACE"/>
    <w:rsid w:val="004E3EB7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B5F09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A5093"/>
    <w:rsid w:val="006B3525"/>
    <w:rsid w:val="00703D53"/>
    <w:rsid w:val="00704668"/>
    <w:rsid w:val="00705ABB"/>
    <w:rsid w:val="0071082E"/>
    <w:rsid w:val="0074415D"/>
    <w:rsid w:val="00746F78"/>
    <w:rsid w:val="00762B76"/>
    <w:rsid w:val="00763ABA"/>
    <w:rsid w:val="00785228"/>
    <w:rsid w:val="007B039C"/>
    <w:rsid w:val="007B7642"/>
    <w:rsid w:val="00807FD2"/>
    <w:rsid w:val="008165E5"/>
    <w:rsid w:val="00821A72"/>
    <w:rsid w:val="00821C0F"/>
    <w:rsid w:val="008337CA"/>
    <w:rsid w:val="00835CE7"/>
    <w:rsid w:val="00853A7E"/>
    <w:rsid w:val="00861479"/>
    <w:rsid w:val="00881F40"/>
    <w:rsid w:val="00883682"/>
    <w:rsid w:val="00891607"/>
    <w:rsid w:val="00897F55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09C0"/>
    <w:rsid w:val="00A71CAF"/>
    <w:rsid w:val="00A74974"/>
    <w:rsid w:val="00A9035B"/>
    <w:rsid w:val="00AA298A"/>
    <w:rsid w:val="00AA5487"/>
    <w:rsid w:val="00AC68F9"/>
    <w:rsid w:val="00AC7D2E"/>
    <w:rsid w:val="00AD1918"/>
    <w:rsid w:val="00AD619E"/>
    <w:rsid w:val="00AE01DF"/>
    <w:rsid w:val="00AE3FF3"/>
    <w:rsid w:val="00AE702A"/>
    <w:rsid w:val="00B04295"/>
    <w:rsid w:val="00B437FD"/>
    <w:rsid w:val="00B74453"/>
    <w:rsid w:val="00B7563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jpe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2018-06-05T19:01:00Z</cp:lastPrinted>
  <dcterms:created xsi:type="dcterms:W3CDTF">2021-03-30T14:13:00Z</dcterms:created>
  <dcterms:modified xsi:type="dcterms:W3CDTF">2021-03-31T16:47:00Z</dcterms:modified>
</cp:coreProperties>
</file>