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786A57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256C82">
        <w:rPr>
          <w:rFonts w:ascii="Arial" w:hAnsi="Arial" w:cs="Arial"/>
          <w:sz w:val="24"/>
          <w:szCs w:val="24"/>
        </w:rPr>
        <w:t>Ranieri Mazini, esquina com a Rua Pedro Aleixo, Trinta e um de Março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1021E5F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256C82">
        <w:rPr>
          <w:rFonts w:ascii="Arial" w:hAnsi="Arial" w:cs="Arial"/>
          <w:sz w:val="24"/>
          <w:szCs w:val="24"/>
        </w:rPr>
        <w:t>99701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5382DD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BE1FDD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256C82">
        <w:rPr>
          <w:rFonts w:ascii="Arial" w:hAnsi="Arial" w:cs="Arial"/>
          <w:sz w:val="24"/>
          <w:szCs w:val="24"/>
        </w:rPr>
        <w:t>Ranieri Mazini, esquina com a Rua Pedro Aleixo, Trinta e um de Março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64498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1606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569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1FDD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C05E-E7C8-4231-ADE2-8BF077EC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2021-03-15T12:19:00Z</dcterms:created>
  <dcterms:modified xsi:type="dcterms:W3CDTF">2021-03-15T22:35:00Z</dcterms:modified>
</cp:coreProperties>
</file>