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2B141D">
        <w:rPr>
          <w:rFonts w:ascii="Arial" w:hAnsi="Arial" w:cs="Arial"/>
          <w:sz w:val="24"/>
          <w:szCs w:val="24"/>
        </w:rPr>
        <w:t xml:space="preserve"> </w:t>
      </w:r>
      <w:r w:rsidR="001B1031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620A43">
        <w:rPr>
          <w:rFonts w:ascii="Arial" w:hAnsi="Arial" w:cs="Arial"/>
          <w:sz w:val="24"/>
          <w:szCs w:val="24"/>
        </w:rPr>
        <w:t>Ernesto de Cillo defronte o nº 147 no Jd. Santa Rita de Cássia.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D22" w:rsidRDefault="00A35AE9" w:rsidP="00973D2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30F65">
        <w:rPr>
          <w:rFonts w:ascii="Arial" w:hAnsi="Arial" w:cs="Arial"/>
          <w:sz w:val="24"/>
          <w:szCs w:val="24"/>
        </w:rPr>
        <w:t xml:space="preserve">proceda </w:t>
      </w:r>
      <w:r w:rsidR="00134090">
        <w:rPr>
          <w:rFonts w:ascii="Arial" w:hAnsi="Arial" w:cs="Arial"/>
          <w:sz w:val="24"/>
          <w:szCs w:val="24"/>
        </w:rPr>
        <w:t xml:space="preserve">a </w:t>
      </w:r>
      <w:r w:rsidR="00551007">
        <w:rPr>
          <w:rFonts w:ascii="Arial" w:hAnsi="Arial" w:cs="Arial"/>
          <w:sz w:val="24"/>
          <w:szCs w:val="24"/>
        </w:rPr>
        <w:t xml:space="preserve">troca de lâmpada </w:t>
      </w:r>
      <w:r w:rsidR="00AE625A">
        <w:rPr>
          <w:rFonts w:ascii="Arial" w:hAnsi="Arial" w:cs="Arial"/>
          <w:sz w:val="24"/>
          <w:szCs w:val="24"/>
        </w:rPr>
        <w:t xml:space="preserve">na </w:t>
      </w:r>
      <w:r w:rsidR="00973D22">
        <w:rPr>
          <w:rFonts w:ascii="Arial" w:hAnsi="Arial" w:cs="Arial"/>
          <w:sz w:val="24"/>
          <w:szCs w:val="24"/>
        </w:rPr>
        <w:t xml:space="preserve">Rua </w:t>
      </w:r>
      <w:r w:rsidR="00620A43">
        <w:rPr>
          <w:rFonts w:ascii="Arial" w:hAnsi="Arial" w:cs="Arial"/>
          <w:sz w:val="24"/>
          <w:szCs w:val="24"/>
        </w:rPr>
        <w:t>Ernesto de Cillo defronte o nº 147 no Jd. Santa Rita de Cássia</w:t>
      </w:r>
      <w:r w:rsidR="00973D22">
        <w:rPr>
          <w:rFonts w:ascii="Arial" w:hAnsi="Arial" w:cs="Arial"/>
          <w:sz w:val="24"/>
          <w:szCs w:val="24"/>
        </w:rPr>
        <w:t>.</w:t>
      </w:r>
    </w:p>
    <w:p w:rsidR="001F4A65" w:rsidRDefault="001F4A65" w:rsidP="001F4A6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763B5">
        <w:rPr>
          <w:rFonts w:ascii="Arial" w:hAnsi="Arial" w:cs="Arial"/>
          <w:sz w:val="24"/>
          <w:szCs w:val="24"/>
        </w:rPr>
        <w:t xml:space="preserve">munícipes, solicitando essa providencia, pois, segundo eles </w:t>
      </w:r>
      <w:r w:rsidR="00620A43">
        <w:rPr>
          <w:rFonts w:ascii="Arial" w:hAnsi="Arial" w:cs="Arial"/>
          <w:sz w:val="24"/>
          <w:szCs w:val="24"/>
        </w:rPr>
        <w:t>há mais de  1 mês foi substituído o poste de madeira por concreto porém não foi instalada a lâmpada deixando o</w:t>
      </w:r>
      <w:r w:rsidR="000763B5">
        <w:rPr>
          <w:rFonts w:ascii="Arial" w:hAnsi="Arial" w:cs="Arial"/>
          <w:sz w:val="24"/>
          <w:szCs w:val="24"/>
        </w:rPr>
        <w:t xml:space="preserve"> referido local </w:t>
      </w:r>
      <w:bookmarkStart w:id="0" w:name="_GoBack"/>
      <w:bookmarkEnd w:id="0"/>
      <w:r w:rsidR="000763B5">
        <w:rPr>
          <w:rFonts w:ascii="Arial" w:hAnsi="Arial" w:cs="Arial"/>
          <w:sz w:val="24"/>
          <w:szCs w:val="24"/>
        </w:rPr>
        <w:t xml:space="preserve">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F4A65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7d44bec1804c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798526-2692-48b1-82f9-7f43fd110ad2.png" Id="Rf509655f334249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798526-2692-48b1-82f9-7f43fd110ad2.png" Id="R3c7d44bec1804c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A3F4-AB8B-4D7F-AA5F-1B4BF2EC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481</cp:revision>
  <cp:lastPrinted>2014-10-17T18:19:00Z</cp:lastPrinted>
  <dcterms:created xsi:type="dcterms:W3CDTF">2014-01-16T16:53:00Z</dcterms:created>
  <dcterms:modified xsi:type="dcterms:W3CDTF">2020-06-05T16:14:00Z</dcterms:modified>
</cp:coreProperties>
</file>