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CC611F">
        <w:rPr>
          <w:rFonts w:ascii="Arial" w:hAnsi="Arial" w:cs="Arial"/>
          <w:sz w:val="24"/>
          <w:szCs w:val="24"/>
        </w:rPr>
        <w:t>Abílio Lourenço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CC611F">
        <w:rPr>
          <w:rFonts w:ascii="Arial" w:hAnsi="Arial" w:cs="Arial"/>
          <w:sz w:val="24"/>
          <w:szCs w:val="24"/>
        </w:rPr>
        <w:t>Abílio Lourenço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CC611F">
        <w:rPr>
          <w:rFonts w:ascii="Arial" w:hAnsi="Arial" w:cs="Arial"/>
          <w:bCs/>
          <w:sz w:val="24"/>
          <w:szCs w:val="24"/>
        </w:rPr>
        <w:t>15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DB44B5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 xml:space="preserve">Rua </w:t>
      </w:r>
      <w:r w:rsidR="00052C18" w:rsidRPr="00052C18">
        <w:rPr>
          <w:rFonts w:ascii="Arial" w:hAnsi="Arial" w:cs="Arial"/>
        </w:rPr>
        <w:t>C</w:t>
      </w:r>
      <w:r w:rsidR="00052C18">
        <w:rPr>
          <w:rFonts w:ascii="Arial" w:hAnsi="Arial" w:cs="Arial"/>
        </w:rPr>
        <w:t>e</w:t>
      </w:r>
      <w:r w:rsidR="00052C18" w:rsidRPr="00052C18">
        <w:rPr>
          <w:rFonts w:ascii="Arial" w:hAnsi="Arial" w:cs="Arial"/>
        </w:rPr>
        <w:t xml:space="preserve">ara, </w:t>
      </w:r>
      <w:r w:rsidR="00052C18">
        <w:rPr>
          <w:rFonts w:ascii="Arial" w:hAnsi="Arial" w:cs="Arial"/>
        </w:rPr>
        <w:t xml:space="preserve">nº </w:t>
      </w:r>
      <w:r w:rsidR="00052C18" w:rsidRPr="00052C18">
        <w:rPr>
          <w:rFonts w:ascii="Arial" w:hAnsi="Arial" w:cs="Arial"/>
        </w:rPr>
        <w:t xml:space="preserve">393, </w:t>
      </w:r>
      <w:r w:rsidR="00052C18">
        <w:rPr>
          <w:rFonts w:ascii="Arial" w:hAnsi="Arial" w:cs="Arial"/>
        </w:rPr>
        <w:t>V</w:t>
      </w:r>
      <w:r w:rsidR="00052C18" w:rsidRPr="00052C18">
        <w:rPr>
          <w:rFonts w:ascii="Arial" w:hAnsi="Arial" w:cs="Arial"/>
        </w:rPr>
        <w:t xml:space="preserve">ila </w:t>
      </w:r>
      <w:r w:rsidR="00052C18">
        <w:rPr>
          <w:rFonts w:ascii="Arial" w:hAnsi="Arial" w:cs="Arial"/>
        </w:rPr>
        <w:t>G</w:t>
      </w:r>
      <w:r w:rsidR="00052C18" w:rsidRPr="00052C18">
        <w:rPr>
          <w:rFonts w:ascii="Arial" w:hAnsi="Arial" w:cs="Arial"/>
        </w:rPr>
        <w:t>rego</w:t>
      </w:r>
      <w:r w:rsidR="00052C18">
        <w:rPr>
          <w:rFonts w:ascii="Arial" w:hAnsi="Arial" w:cs="Arial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52C1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C611F">
        <w:rPr>
          <w:rFonts w:ascii="Arial" w:hAnsi="Arial" w:cs="Arial"/>
        </w:rPr>
        <w:t>91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CC611F" w:rsidRPr="00CC611F">
        <w:rPr>
          <w:rFonts w:ascii="Arial" w:hAnsi="Arial" w:cs="Arial"/>
          <w:color w:val="000000" w:themeColor="text1"/>
          <w:shd w:val="clear" w:color="auto" w:fill="FFFFFF"/>
        </w:rPr>
        <w:t>viúvo de Terezinha do Prado Lourenço, deixando as filhas: Vilma e Marlene.</w:t>
      </w:r>
      <w:r w:rsidR="00CC611F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D4690">
        <w:rPr>
          <w:rFonts w:ascii="Arial" w:hAnsi="Arial" w:cs="Arial"/>
          <w:sz w:val="24"/>
          <w:szCs w:val="24"/>
        </w:rPr>
        <w:t>1</w:t>
      </w:r>
      <w:r w:rsidR="00CC611F">
        <w:rPr>
          <w:rFonts w:ascii="Arial" w:hAnsi="Arial" w:cs="Arial"/>
          <w:sz w:val="24"/>
          <w:szCs w:val="24"/>
        </w:rPr>
        <w:t>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CC611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7b786c764d49f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a0ebfa6-cf27-41e0-848a-b44663a3421b.png" Id="Rd32f201090cd41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0ebfa6-cf27-41e0-848a-b44663a3421b.png" Id="R687b786c764d49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40C7-3B3D-4629-9856-11423982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184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489</cp:revision>
  <cp:lastPrinted>2013-10-08T16:36:00Z</cp:lastPrinted>
  <dcterms:created xsi:type="dcterms:W3CDTF">2014-01-16T17:21:00Z</dcterms:created>
  <dcterms:modified xsi:type="dcterms:W3CDTF">2020-01-15T13:26:00Z</dcterms:modified>
</cp:coreProperties>
</file>