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863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5249C" w:rsidRDefault="00D5249C" w:rsidP="00D5249C">
      <w:pPr>
        <w:pStyle w:val="Ttulo"/>
        <w:rPr>
          <w:rFonts w:ascii="Arial" w:hAnsi="Arial" w:cs="Arial"/>
        </w:rPr>
      </w:pPr>
    </w:p>
    <w:p w:rsidR="00D5249C" w:rsidRPr="007A2017" w:rsidRDefault="00D5249C" w:rsidP="00D5249C">
      <w:pPr>
        <w:pStyle w:val="Cabealho"/>
        <w:ind w:left="4536"/>
        <w:jc w:val="both"/>
        <w:rPr>
          <w:rFonts w:ascii="Arial" w:hAnsi="Arial" w:cs="Arial"/>
          <w:sz w:val="22"/>
          <w:szCs w:val="22"/>
        </w:rPr>
      </w:pPr>
      <w:r w:rsidRPr="007A2017">
        <w:rPr>
          <w:rFonts w:ascii="Arial" w:hAnsi="Arial" w:cs="Arial"/>
          <w:sz w:val="22"/>
          <w:szCs w:val="22"/>
        </w:rPr>
        <w:t xml:space="preserve">Manifesta </w:t>
      </w:r>
      <w:r>
        <w:rPr>
          <w:rFonts w:ascii="Arial" w:hAnsi="Arial" w:cs="Arial"/>
          <w:sz w:val="22"/>
          <w:szCs w:val="22"/>
        </w:rPr>
        <w:t>apelo para aprovação d</w:t>
      </w:r>
      <w:r w:rsidR="007B129A">
        <w:rPr>
          <w:rFonts w:ascii="Arial" w:hAnsi="Arial" w:cs="Arial"/>
          <w:sz w:val="22"/>
          <w:szCs w:val="22"/>
        </w:rPr>
        <w:t xml:space="preserve">o PL de nº 80 de 08 de Agosto de 2018 </w:t>
      </w:r>
      <w:r w:rsidR="00CC4667">
        <w:rPr>
          <w:rFonts w:ascii="Arial" w:hAnsi="Arial" w:cs="Arial"/>
          <w:sz w:val="22"/>
          <w:szCs w:val="22"/>
        </w:rPr>
        <w:t>no Senado Federal</w:t>
      </w:r>
      <w:r w:rsidR="007B129A">
        <w:rPr>
          <w:rFonts w:ascii="Arial" w:hAnsi="Arial" w:cs="Arial"/>
          <w:sz w:val="22"/>
          <w:szCs w:val="22"/>
        </w:rPr>
        <w:t>.</w:t>
      </w:r>
    </w:p>
    <w:p w:rsidR="00D5249C" w:rsidRPr="007A2017" w:rsidRDefault="00D5249C" w:rsidP="00D5249C">
      <w:pPr>
        <w:jc w:val="both"/>
        <w:rPr>
          <w:rFonts w:ascii="Arial" w:hAnsi="Arial" w:cs="Arial"/>
          <w:sz w:val="22"/>
          <w:szCs w:val="22"/>
        </w:rPr>
      </w:pPr>
    </w:p>
    <w:p w:rsidR="00D5249C" w:rsidRPr="007A2017" w:rsidRDefault="00D5249C" w:rsidP="00D524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249C" w:rsidRPr="007A2017" w:rsidRDefault="00D5249C" w:rsidP="00D5249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A2017">
        <w:rPr>
          <w:rFonts w:ascii="Arial" w:hAnsi="Arial" w:cs="Arial"/>
          <w:sz w:val="22"/>
          <w:szCs w:val="22"/>
        </w:rPr>
        <w:t>Senhor Presidente,</w:t>
      </w:r>
    </w:p>
    <w:p w:rsidR="00D5249C" w:rsidRPr="007A2017" w:rsidRDefault="00D5249C" w:rsidP="00D5249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A2017">
        <w:rPr>
          <w:rFonts w:ascii="Arial" w:hAnsi="Arial" w:cs="Arial"/>
          <w:sz w:val="22"/>
          <w:szCs w:val="22"/>
        </w:rPr>
        <w:t xml:space="preserve">Senhores Vereadores, </w:t>
      </w:r>
    </w:p>
    <w:p w:rsidR="00D5249C" w:rsidRPr="007A2017" w:rsidRDefault="00D5249C" w:rsidP="00D524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249C" w:rsidRPr="007A2017" w:rsidRDefault="00D5249C" w:rsidP="00D5249C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7B129A" w:rsidRDefault="00D5249C" w:rsidP="00D5249C">
      <w:pPr>
        <w:pStyle w:val="SemEspaamento"/>
        <w:ind w:firstLine="1418"/>
        <w:jc w:val="both"/>
        <w:rPr>
          <w:rFonts w:ascii="Arial" w:hAnsi="Arial" w:cs="Arial"/>
        </w:rPr>
      </w:pPr>
      <w:r w:rsidRPr="007A2017">
        <w:rPr>
          <w:rFonts w:ascii="Arial" w:hAnsi="Arial" w:cs="Arial"/>
          <w:b/>
        </w:rPr>
        <w:t>CONSIDERANDO</w:t>
      </w:r>
      <w:r w:rsidR="007B129A">
        <w:rPr>
          <w:rFonts w:ascii="Arial" w:hAnsi="Arial" w:cs="Arial"/>
        </w:rPr>
        <w:t xml:space="preserve"> que, na Câmara dos Deputados o PL 5511/2016 foi </w:t>
      </w:r>
      <w:bookmarkStart w:id="0" w:name="_GoBack"/>
      <w:bookmarkEnd w:id="0"/>
      <w:r w:rsidR="007B129A">
        <w:rPr>
          <w:rFonts w:ascii="Arial" w:hAnsi="Arial" w:cs="Arial"/>
        </w:rPr>
        <w:t>aprovado e seguiu para aprovação no Sen</w:t>
      </w:r>
      <w:r w:rsidR="002B293D">
        <w:rPr>
          <w:rFonts w:ascii="Arial" w:hAnsi="Arial" w:cs="Arial"/>
        </w:rPr>
        <w:t>ado;</w:t>
      </w:r>
    </w:p>
    <w:p w:rsidR="007B129A" w:rsidRDefault="007B129A" w:rsidP="00D5249C">
      <w:pPr>
        <w:pStyle w:val="SemEspaamento"/>
        <w:ind w:firstLine="1418"/>
        <w:jc w:val="both"/>
        <w:rPr>
          <w:rFonts w:ascii="Arial" w:hAnsi="Arial" w:cs="Arial"/>
        </w:rPr>
      </w:pPr>
    </w:p>
    <w:p w:rsidR="007B129A" w:rsidRPr="007A2017" w:rsidRDefault="007B129A" w:rsidP="007B129A">
      <w:pPr>
        <w:pStyle w:val="SemEspaamento"/>
        <w:ind w:firstLine="1418"/>
        <w:jc w:val="both"/>
        <w:rPr>
          <w:rFonts w:ascii="Arial" w:hAnsi="Arial" w:cs="Arial"/>
        </w:rPr>
      </w:pPr>
      <w:r w:rsidRPr="007A2017">
        <w:rPr>
          <w:rFonts w:ascii="Arial" w:hAnsi="Arial" w:cs="Arial"/>
          <w:b/>
        </w:rPr>
        <w:t>CONSIDERANDO</w:t>
      </w:r>
      <w:r w:rsidRPr="007A2017">
        <w:rPr>
          <w:rFonts w:ascii="Arial" w:hAnsi="Arial" w:cs="Arial"/>
        </w:rPr>
        <w:t xml:space="preserve"> que, </w:t>
      </w:r>
      <w:r>
        <w:rPr>
          <w:rFonts w:ascii="Arial" w:hAnsi="Arial" w:cs="Arial"/>
        </w:rPr>
        <w:t>tramita no</w:t>
      </w:r>
      <w:r>
        <w:rPr>
          <w:rFonts w:ascii="Arial" w:hAnsi="Arial" w:cs="Arial"/>
        </w:rPr>
        <w:t xml:space="preserve"> Senado</w:t>
      </w:r>
      <w:r w:rsidR="00CC4667">
        <w:rPr>
          <w:rFonts w:ascii="Arial" w:hAnsi="Arial" w:cs="Arial"/>
        </w:rPr>
        <w:t xml:space="preserve"> o PL de nº 80 de 08 de Agosto de 2018,</w:t>
      </w:r>
      <w:r>
        <w:rPr>
          <w:rFonts w:ascii="Arial" w:hAnsi="Arial" w:cs="Arial"/>
        </w:rPr>
        <w:t xml:space="preserve"> propositura</w:t>
      </w:r>
      <w:r w:rsidR="00CC4667">
        <w:rPr>
          <w:rFonts w:ascii="Arial" w:hAnsi="Arial" w:cs="Arial"/>
        </w:rPr>
        <w:t xml:space="preserve"> esta</w:t>
      </w:r>
      <w:r>
        <w:rPr>
          <w:rFonts w:ascii="Arial" w:hAnsi="Arial" w:cs="Arial"/>
        </w:rPr>
        <w:t xml:space="preserve"> formulada pelo Deputado </w:t>
      </w:r>
      <w:r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ederal </w:t>
      </w:r>
      <w:r>
        <w:rPr>
          <w:rFonts w:ascii="Arial" w:hAnsi="Arial" w:cs="Arial"/>
        </w:rPr>
        <w:t>José Mentor</w:t>
      </w:r>
      <w:r>
        <w:rPr>
          <w:rFonts w:ascii="Arial" w:hAnsi="Arial" w:cs="Arial"/>
        </w:rPr>
        <w:t xml:space="preserve">, através </w:t>
      </w:r>
      <w:r w:rsidR="00CC466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PL nº 5.511/2016</w:t>
      </w:r>
      <w:r w:rsidR="00CC4667">
        <w:rPr>
          <w:rFonts w:ascii="Arial" w:hAnsi="Arial" w:cs="Arial"/>
        </w:rPr>
        <w:t xml:space="preserve"> na Câmara dos Deputados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>acrescenta o paragrafo 4º ao</w:t>
      </w:r>
      <w:r>
        <w:rPr>
          <w:rFonts w:ascii="Arial" w:hAnsi="Arial" w:cs="Arial"/>
        </w:rPr>
        <w:t xml:space="preserve"> artigo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º da</w:t>
      </w:r>
      <w:r>
        <w:rPr>
          <w:rFonts w:ascii="Arial" w:hAnsi="Arial" w:cs="Arial"/>
        </w:rPr>
        <w:t xml:space="preserve"> lei 8.906 de 04 de Julho de 1994 (Estatuto da Advocacia e a Orde</w:t>
      </w:r>
      <w:r w:rsidR="002B293D">
        <w:rPr>
          <w:rFonts w:ascii="Arial" w:hAnsi="Arial" w:cs="Arial"/>
        </w:rPr>
        <w:t>m dos Advogados do Brasil (OAB)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2B293D">
        <w:rPr>
          <w:rFonts w:ascii="Arial" w:hAnsi="Arial" w:cs="Arial"/>
        </w:rPr>
        <w:t xml:space="preserve"> “é obrigatória da participação do Advogado na solução consensual de conflitos, tais como a conciliação e a mediação”;</w:t>
      </w:r>
    </w:p>
    <w:p w:rsidR="00D5249C" w:rsidRPr="007A2017" w:rsidRDefault="00D5249C" w:rsidP="00D5249C">
      <w:pPr>
        <w:pStyle w:val="SemEspaamento"/>
        <w:jc w:val="both"/>
      </w:pPr>
    </w:p>
    <w:p w:rsidR="007B129A" w:rsidRDefault="00D5249C" w:rsidP="00D5249C">
      <w:pPr>
        <w:pStyle w:val="SemEspaamento"/>
        <w:ind w:firstLine="1418"/>
        <w:jc w:val="both"/>
        <w:rPr>
          <w:rFonts w:ascii="Arial" w:hAnsi="Arial" w:cs="Arial"/>
        </w:rPr>
      </w:pPr>
      <w:r w:rsidRPr="007A2017">
        <w:rPr>
          <w:rFonts w:ascii="Arial" w:hAnsi="Arial" w:cs="Arial"/>
          <w:b/>
        </w:rPr>
        <w:t>CONSIDERANDO</w:t>
      </w:r>
      <w:r w:rsidRPr="007A2017">
        <w:rPr>
          <w:rFonts w:ascii="Arial" w:hAnsi="Arial" w:cs="Arial"/>
        </w:rPr>
        <w:t xml:space="preserve"> que, </w:t>
      </w:r>
      <w:r w:rsidR="007B129A">
        <w:rPr>
          <w:rFonts w:ascii="Arial" w:hAnsi="Arial" w:cs="Arial"/>
        </w:rPr>
        <w:t>n</w:t>
      </w:r>
      <w:r w:rsidR="007B129A" w:rsidRPr="007B129A">
        <w:rPr>
          <w:rFonts w:ascii="Arial" w:hAnsi="Arial" w:cs="Arial"/>
        </w:rPr>
        <w:t>ão se pode olvidar que os métodos alternativos de pacificação de conflitos desempenham papel fundamental na sociedade e, entre eles, estão os importantes institut</w:t>
      </w:r>
      <w:r w:rsidR="002B293D">
        <w:rPr>
          <w:rFonts w:ascii="Arial" w:hAnsi="Arial" w:cs="Arial"/>
        </w:rPr>
        <w:t>os da mediação e da conciliação;</w:t>
      </w:r>
    </w:p>
    <w:p w:rsidR="007B129A" w:rsidRDefault="007B129A" w:rsidP="00D5249C">
      <w:pPr>
        <w:pStyle w:val="SemEspaamento"/>
        <w:ind w:firstLine="1418"/>
        <w:jc w:val="both"/>
        <w:rPr>
          <w:rFonts w:ascii="Arial" w:hAnsi="Arial" w:cs="Arial"/>
        </w:rPr>
      </w:pPr>
    </w:p>
    <w:p w:rsidR="007B129A" w:rsidRDefault="007B129A" w:rsidP="00D5249C">
      <w:pPr>
        <w:pStyle w:val="SemEspaamento"/>
        <w:ind w:firstLine="1418"/>
        <w:jc w:val="both"/>
        <w:rPr>
          <w:rFonts w:ascii="Arial" w:hAnsi="Arial" w:cs="Arial"/>
        </w:rPr>
      </w:pPr>
      <w:r w:rsidRPr="007B129A">
        <w:rPr>
          <w:rFonts w:ascii="Arial" w:hAnsi="Arial" w:cs="Arial"/>
        </w:rPr>
        <w:t xml:space="preserve"> </w:t>
      </w:r>
      <w:r w:rsidRPr="007A2017">
        <w:rPr>
          <w:rFonts w:ascii="Arial" w:hAnsi="Arial" w:cs="Arial"/>
          <w:b/>
        </w:rPr>
        <w:t>CONSIDERANDO</w:t>
      </w:r>
      <w:r w:rsidRPr="007A2017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, </w:t>
      </w:r>
      <w:r w:rsidRPr="007B129A">
        <w:rPr>
          <w:rFonts w:ascii="Arial" w:hAnsi="Arial" w:cs="Arial"/>
        </w:rPr>
        <w:t>tais métodos</w:t>
      </w:r>
      <w:r>
        <w:rPr>
          <w:rFonts w:ascii="Arial" w:hAnsi="Arial" w:cs="Arial"/>
        </w:rPr>
        <w:t>,</w:t>
      </w:r>
      <w:r w:rsidRPr="007B1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contudo </w:t>
      </w:r>
      <w:r w:rsidRPr="007B129A">
        <w:rPr>
          <w:rFonts w:ascii="Arial" w:hAnsi="Arial" w:cs="Arial"/>
        </w:rPr>
        <w:t xml:space="preserve">não podem ser instituídos de forma a afrontar direitos fundamentais como acesso à Justiça, o direito ao devido 2 processo legal, o direito ao contraditório e à ampla defesa, que são garantidos pela indispensabilidade conferida pelo art. 133 da Lei Maior, em especial em todas as situações que dependam de uma </w:t>
      </w:r>
      <w:r w:rsidR="002B293D">
        <w:rPr>
          <w:rFonts w:ascii="Arial" w:hAnsi="Arial" w:cs="Arial"/>
        </w:rPr>
        <w:t>atuação técnica e especializada;</w:t>
      </w:r>
      <w:r w:rsidRPr="007B129A">
        <w:rPr>
          <w:rFonts w:ascii="Arial" w:hAnsi="Arial" w:cs="Arial"/>
        </w:rPr>
        <w:t xml:space="preserve"> </w:t>
      </w:r>
    </w:p>
    <w:p w:rsidR="007B129A" w:rsidRDefault="007B129A" w:rsidP="00D5249C">
      <w:pPr>
        <w:pStyle w:val="SemEspaamento"/>
        <w:ind w:firstLine="1418"/>
        <w:jc w:val="both"/>
        <w:rPr>
          <w:rFonts w:ascii="Arial" w:hAnsi="Arial" w:cs="Arial"/>
        </w:rPr>
      </w:pPr>
    </w:p>
    <w:p w:rsidR="007B129A" w:rsidRDefault="007B129A" w:rsidP="00D5249C">
      <w:pPr>
        <w:pStyle w:val="SemEspaamento"/>
        <w:ind w:firstLine="1418"/>
        <w:jc w:val="both"/>
        <w:rPr>
          <w:rFonts w:ascii="Arial" w:hAnsi="Arial" w:cs="Arial"/>
        </w:rPr>
      </w:pPr>
      <w:r w:rsidRPr="007A2017">
        <w:rPr>
          <w:rFonts w:ascii="Arial" w:hAnsi="Arial" w:cs="Arial"/>
          <w:b/>
        </w:rPr>
        <w:t>CONSIDERANDO</w:t>
      </w:r>
      <w:r w:rsidRPr="007A2017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>, n</w:t>
      </w:r>
      <w:r w:rsidRPr="007B129A">
        <w:rPr>
          <w:rFonts w:ascii="Arial" w:hAnsi="Arial" w:cs="Arial"/>
        </w:rPr>
        <w:t>a medida em que o advogado é indispensável à administração da justiça, resta claro que o acesso que se garante a ela e o direito que se consagra ao devido processo legal e à ampla defesa devem ser feitos por meio de advogado. Quando se permite o afastamento do advogado do feito, todas essas prescriç</w:t>
      </w:r>
      <w:r w:rsidR="002B293D">
        <w:rPr>
          <w:rFonts w:ascii="Arial" w:hAnsi="Arial" w:cs="Arial"/>
        </w:rPr>
        <w:t>ões normativas restam maculadas;</w:t>
      </w:r>
    </w:p>
    <w:p w:rsidR="00D5249C" w:rsidRPr="007A2017" w:rsidRDefault="00D5249C" w:rsidP="00D5249C">
      <w:pPr>
        <w:pStyle w:val="SemEspaamento"/>
        <w:jc w:val="both"/>
        <w:rPr>
          <w:rFonts w:ascii="Arial" w:hAnsi="Arial" w:cs="Arial"/>
        </w:rPr>
      </w:pPr>
    </w:p>
    <w:p w:rsidR="00D5249C" w:rsidRPr="007A2017" w:rsidRDefault="00D5249C" w:rsidP="00D5249C">
      <w:pPr>
        <w:pStyle w:val="SemEspaamento"/>
        <w:ind w:firstLine="1418"/>
        <w:jc w:val="both"/>
        <w:rPr>
          <w:rFonts w:ascii="Arial" w:hAnsi="Arial" w:cs="Arial"/>
        </w:rPr>
      </w:pPr>
      <w:r w:rsidRPr="007A2017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</w:t>
      </w:r>
      <w:r w:rsidRPr="007A2017"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>o assunto é de extrema importância para todos e deve atender aos interesses da população</w:t>
      </w:r>
      <w:r w:rsidR="002B293D">
        <w:rPr>
          <w:rFonts w:ascii="Arial" w:hAnsi="Arial" w:cs="Arial"/>
        </w:rPr>
        <w:t xml:space="preserve"> de forma que os direitos fundamentais ao acesso da justiça, e do direito ao devido processo legal, o direito ao contraditório e a ampla defesa, garantidos na Constituição Federal, esta</w:t>
      </w:r>
      <w:r>
        <w:rPr>
          <w:rFonts w:ascii="Arial" w:hAnsi="Arial" w:cs="Arial"/>
        </w:rPr>
        <w:t xml:space="preserve"> vereador</w:t>
      </w:r>
      <w:r w:rsidR="002B293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demonstra sua aquiescência à aprovação d</w:t>
      </w:r>
      <w:r w:rsidR="002B293D">
        <w:rPr>
          <w:rFonts w:ascii="Arial" w:hAnsi="Arial" w:cs="Arial"/>
        </w:rPr>
        <w:t xml:space="preserve">o </w:t>
      </w:r>
      <w:r w:rsidR="002B293D">
        <w:rPr>
          <w:rFonts w:ascii="Arial" w:hAnsi="Arial" w:cs="Arial"/>
        </w:rPr>
        <w:t>PL de nº 80 de 08 de Agosto de 2018</w:t>
      </w:r>
      <w:r>
        <w:rPr>
          <w:rFonts w:ascii="Arial" w:hAnsi="Arial" w:cs="Arial"/>
        </w:rPr>
        <w:t xml:space="preserve"> em epigrafo; </w:t>
      </w:r>
    </w:p>
    <w:p w:rsidR="00D5249C" w:rsidRPr="007A2017" w:rsidRDefault="00D5249C" w:rsidP="00D5249C">
      <w:pPr>
        <w:pStyle w:val="SemEspaamento"/>
        <w:jc w:val="both"/>
        <w:rPr>
          <w:rFonts w:ascii="Arial" w:hAnsi="Arial" w:cs="Arial"/>
          <w:b/>
          <w:i/>
        </w:rPr>
      </w:pPr>
    </w:p>
    <w:p w:rsidR="00D5249C" w:rsidRPr="00CC4667" w:rsidRDefault="00CC4667" w:rsidP="002B293D">
      <w:pPr>
        <w:pStyle w:val="Cabealh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ab/>
        <w:t xml:space="preserve">                      </w:t>
      </w:r>
      <w:r w:rsidR="00D5249C" w:rsidRPr="00CC4667">
        <w:rPr>
          <w:rFonts w:ascii="Arial" w:eastAsia="Calibri" w:hAnsi="Arial" w:cs="Arial"/>
          <w:b/>
          <w:i/>
          <w:sz w:val="22"/>
          <w:szCs w:val="22"/>
          <w:lang w:eastAsia="en-US"/>
        </w:rPr>
        <w:t>Ante o exposto</w:t>
      </w:r>
      <w:r w:rsidR="00D5249C" w:rsidRPr="00CC4667">
        <w:rPr>
          <w:rFonts w:ascii="Arial" w:eastAsia="Calibri" w:hAnsi="Arial" w:cs="Arial"/>
          <w:sz w:val="22"/>
          <w:szCs w:val="22"/>
          <w:lang w:eastAsia="en-US"/>
        </w:rPr>
        <w:t xml:space="preserve"> e nos termos do Capítulo IV do Título V do Regimento Interno desta Casa de Leis, a </w:t>
      </w:r>
      <w:r w:rsidR="00D5249C" w:rsidRPr="00CC4667">
        <w:rPr>
          <w:rFonts w:ascii="Arial" w:eastAsia="Calibri" w:hAnsi="Arial" w:cs="Arial"/>
          <w:b/>
          <w:sz w:val="22"/>
          <w:szCs w:val="22"/>
          <w:lang w:eastAsia="en-US"/>
        </w:rPr>
        <w:t>CÂMARA MUNICIPAL DE SANTA BÁRBARA D’OESTE/SP</w:t>
      </w:r>
      <w:r w:rsidR="00D5249C" w:rsidRPr="00CC4667">
        <w:rPr>
          <w:rFonts w:ascii="Arial" w:eastAsia="Calibri" w:hAnsi="Arial" w:cs="Arial"/>
          <w:sz w:val="22"/>
          <w:szCs w:val="22"/>
          <w:lang w:eastAsia="en-US"/>
        </w:rPr>
        <w:t xml:space="preserve"> – manifesta apelo para aprovação </w:t>
      </w:r>
      <w:r w:rsidR="002B293D" w:rsidRPr="00CC4667">
        <w:rPr>
          <w:rFonts w:ascii="Arial" w:eastAsia="Calibri" w:hAnsi="Arial" w:cs="Arial"/>
          <w:sz w:val="22"/>
          <w:szCs w:val="22"/>
          <w:lang w:eastAsia="en-US"/>
        </w:rPr>
        <w:t>PL de nº 80 de 08 de Agosto de 2018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 Senado,</w:t>
      </w:r>
      <w:r w:rsidR="002B293D" w:rsidRPr="00CC466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5249C" w:rsidRPr="00CC4667">
        <w:rPr>
          <w:rFonts w:ascii="Arial" w:eastAsia="Calibri" w:hAnsi="Arial" w:cs="Arial"/>
          <w:sz w:val="22"/>
          <w:szCs w:val="22"/>
          <w:lang w:eastAsia="en-US"/>
        </w:rPr>
        <w:t>encaminhando cópia da presente ao</w:t>
      </w:r>
      <w:r w:rsidR="002B293D" w:rsidRPr="00CC4667">
        <w:rPr>
          <w:rFonts w:ascii="Arial" w:eastAsia="Calibri" w:hAnsi="Arial" w:cs="Arial"/>
          <w:sz w:val="22"/>
          <w:szCs w:val="22"/>
          <w:lang w:eastAsia="en-US"/>
        </w:rPr>
        <w:t xml:space="preserve"> Presidente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do </w:t>
      </w:r>
      <w:r w:rsidR="00D5249C" w:rsidRPr="00CC4667">
        <w:rPr>
          <w:rFonts w:ascii="Arial" w:eastAsia="Calibri" w:hAnsi="Arial" w:cs="Arial"/>
          <w:sz w:val="22"/>
          <w:szCs w:val="22"/>
          <w:lang w:eastAsia="en-US"/>
        </w:rPr>
        <w:t xml:space="preserve">Senado Federal, Exmo. Sr. Davi Alcolumbre para que também dê ciência através deste a todos os </w:t>
      </w:r>
      <w:r w:rsidR="00D5249C" w:rsidRPr="00CC4667">
        <w:rPr>
          <w:rFonts w:ascii="Arial" w:eastAsia="Calibri" w:hAnsi="Arial" w:cs="Arial"/>
          <w:sz w:val="22"/>
          <w:szCs w:val="22"/>
          <w:lang w:eastAsia="en-US"/>
        </w:rPr>
        <w:lastRenderedPageBreak/>
        <w:t>demais Senadores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="00D5249C" w:rsidRPr="00CC466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B293D" w:rsidRPr="00CC466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5249C" w:rsidRPr="00CC4667">
        <w:rPr>
          <w:rFonts w:ascii="Arial" w:eastAsia="Calibri" w:hAnsi="Arial" w:cs="Arial"/>
          <w:sz w:val="22"/>
          <w:szCs w:val="22"/>
          <w:lang w:eastAsia="en-US"/>
        </w:rPr>
        <w:t xml:space="preserve">Senado Federal </w:t>
      </w:r>
      <w:r w:rsidR="002B293D" w:rsidRPr="00CC4667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D5249C" w:rsidRPr="00CC4667">
        <w:rPr>
          <w:rFonts w:ascii="Arial" w:eastAsia="Calibri" w:hAnsi="Arial" w:cs="Arial"/>
          <w:sz w:val="22"/>
          <w:szCs w:val="22"/>
          <w:lang w:eastAsia="en-US"/>
        </w:rPr>
        <w:t>Praça dos Três Poderes – Brasília –DF – CEP 70165-900.</w:t>
      </w:r>
    </w:p>
    <w:p w:rsidR="00D5249C" w:rsidRPr="007A2017" w:rsidRDefault="00D5249C" w:rsidP="00D5249C">
      <w:pPr>
        <w:pStyle w:val="SemEspaamento"/>
        <w:tabs>
          <w:tab w:val="left" w:pos="2805"/>
        </w:tabs>
        <w:ind w:firstLine="720"/>
        <w:jc w:val="both"/>
        <w:rPr>
          <w:rFonts w:ascii="Arial" w:hAnsi="Arial" w:cs="Arial"/>
        </w:rPr>
      </w:pPr>
      <w:r w:rsidRPr="007A2017">
        <w:rPr>
          <w:rFonts w:ascii="Arial" w:hAnsi="Arial" w:cs="Arial"/>
        </w:rPr>
        <w:tab/>
      </w:r>
    </w:p>
    <w:p w:rsidR="00D5249C" w:rsidRPr="007A2017" w:rsidRDefault="00D5249C" w:rsidP="00D5249C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A2017">
        <w:rPr>
          <w:rFonts w:ascii="Arial" w:hAnsi="Arial" w:cs="Arial"/>
          <w:sz w:val="22"/>
          <w:szCs w:val="22"/>
        </w:rPr>
        <w:t xml:space="preserve">Plenário “Dr. Tancredo Neves”, </w:t>
      </w:r>
      <w:r w:rsidR="002B293D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novembro</w:t>
      </w:r>
      <w:r w:rsidRPr="007A2017">
        <w:rPr>
          <w:rFonts w:ascii="Arial" w:hAnsi="Arial" w:cs="Arial"/>
          <w:sz w:val="22"/>
          <w:szCs w:val="22"/>
        </w:rPr>
        <w:t xml:space="preserve"> de 2.019.</w:t>
      </w:r>
    </w:p>
    <w:p w:rsidR="00D5249C" w:rsidRPr="007A2017" w:rsidRDefault="00D5249C" w:rsidP="00D5249C">
      <w:pPr>
        <w:ind w:firstLine="1440"/>
        <w:rPr>
          <w:rFonts w:ascii="Arial" w:hAnsi="Arial" w:cs="Arial"/>
          <w:sz w:val="22"/>
          <w:szCs w:val="22"/>
        </w:rPr>
      </w:pPr>
    </w:p>
    <w:p w:rsidR="00D5249C" w:rsidRPr="007A2017" w:rsidRDefault="00D5249C" w:rsidP="00D5249C">
      <w:pPr>
        <w:ind w:firstLine="1440"/>
        <w:rPr>
          <w:rFonts w:ascii="Arial" w:hAnsi="Arial" w:cs="Arial"/>
          <w:sz w:val="22"/>
          <w:szCs w:val="22"/>
        </w:rPr>
      </w:pPr>
    </w:p>
    <w:p w:rsidR="00D5249C" w:rsidRPr="007A2017" w:rsidRDefault="002B293D" w:rsidP="00D5249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Germina Dottori</w:t>
      </w:r>
    </w:p>
    <w:p w:rsidR="00D5249C" w:rsidRPr="007A2017" w:rsidRDefault="002B293D" w:rsidP="00D5249C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</w:t>
      </w:r>
      <w:r w:rsidR="00D5249C" w:rsidRPr="007A2017">
        <w:rPr>
          <w:rFonts w:ascii="Arial" w:hAnsi="Arial" w:cs="Arial"/>
          <w:sz w:val="22"/>
          <w:szCs w:val="22"/>
        </w:rPr>
        <w:t>ereador</w:t>
      </w:r>
      <w:r>
        <w:rPr>
          <w:rFonts w:ascii="Arial" w:hAnsi="Arial" w:cs="Arial"/>
          <w:sz w:val="22"/>
          <w:szCs w:val="22"/>
        </w:rPr>
        <w:t>a -PV</w:t>
      </w:r>
      <w:r w:rsidR="00D5249C" w:rsidRPr="007A2017">
        <w:rPr>
          <w:rFonts w:ascii="Arial" w:hAnsi="Arial" w:cs="Arial"/>
          <w:sz w:val="22"/>
          <w:szCs w:val="22"/>
        </w:rPr>
        <w:t>-</w:t>
      </w:r>
    </w:p>
    <w:p w:rsidR="00D5249C" w:rsidRPr="007A2017" w:rsidRDefault="00D5249C" w:rsidP="00D5249C">
      <w:pPr>
        <w:ind w:firstLine="1440"/>
        <w:rPr>
          <w:rFonts w:ascii="Arial" w:hAnsi="Arial" w:cs="Arial"/>
          <w:sz w:val="22"/>
          <w:szCs w:val="22"/>
        </w:rPr>
      </w:pPr>
    </w:p>
    <w:p w:rsidR="00D5249C" w:rsidRPr="007A2017" w:rsidRDefault="00D5249C" w:rsidP="00D5249C">
      <w:pPr>
        <w:ind w:firstLine="144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D5249C" w:rsidRPr="007A2017" w:rsidTr="00FD72FD">
        <w:tc>
          <w:tcPr>
            <w:tcW w:w="4322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ALEX FERNANDO BRAGA</w:t>
            </w:r>
          </w:p>
        </w:tc>
        <w:tc>
          <w:tcPr>
            <w:tcW w:w="4323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FELIPE SANCHES SILVA</w:t>
            </w:r>
          </w:p>
        </w:tc>
      </w:tr>
      <w:tr w:rsidR="00D5249C" w:rsidRPr="007A2017" w:rsidTr="00FD72FD">
        <w:tc>
          <w:tcPr>
            <w:tcW w:w="4322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ANTONIO CARLOS RIBEIRO</w:t>
            </w:r>
          </w:p>
        </w:tc>
        <w:tc>
          <w:tcPr>
            <w:tcW w:w="4323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4667" w:rsidRPr="00CC4667" w:rsidRDefault="00CC4667" w:rsidP="00CC4667">
            <w:pPr>
              <w:shd w:val="clear" w:color="auto" w:fill="FFFFFF"/>
              <w:spacing w:before="150" w:after="450"/>
              <w:jc w:val="center"/>
              <w:outlineLvl w:val="3"/>
              <w:rPr>
                <w:rFonts w:ascii="Merriweather" w:hAnsi="Merriweather"/>
                <w:b/>
                <w:bCs/>
                <w:caps/>
                <w:color w:val="000000"/>
                <w:sz w:val="24"/>
                <w:szCs w:val="24"/>
              </w:rPr>
            </w:pPr>
            <w:r w:rsidRPr="00CC4667">
              <w:rPr>
                <w:rFonts w:ascii="Merriweather" w:hAnsi="Merriweather"/>
                <w:b/>
                <w:bCs/>
                <w:caps/>
                <w:color w:val="000000"/>
                <w:sz w:val="24"/>
                <w:szCs w:val="24"/>
              </w:rPr>
              <w:t>MARCOS ANTÔNIO ROSADO MARÇAL</w:t>
            </w:r>
          </w:p>
          <w:p w:rsidR="00D5249C" w:rsidRPr="007A2017" w:rsidRDefault="00D5249C" w:rsidP="00CC46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49C" w:rsidRPr="007A2017" w:rsidTr="00FD72FD">
        <w:tc>
          <w:tcPr>
            <w:tcW w:w="4322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CARLOS ALBERTO PORTELLA FONTES</w:t>
            </w:r>
          </w:p>
        </w:tc>
        <w:tc>
          <w:tcPr>
            <w:tcW w:w="4323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GUSTAVO BAGNOLI GONÇALVES</w:t>
            </w:r>
          </w:p>
        </w:tc>
      </w:tr>
      <w:tr w:rsidR="00D5249C" w:rsidRPr="007A2017" w:rsidTr="00FD72FD">
        <w:tc>
          <w:tcPr>
            <w:tcW w:w="4322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CELSO LUCCATTI CARNEIRO</w:t>
            </w:r>
          </w:p>
        </w:tc>
        <w:tc>
          <w:tcPr>
            <w:tcW w:w="4323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ISAC GARCIA SORRILLO</w:t>
            </w:r>
          </w:p>
        </w:tc>
      </w:tr>
      <w:tr w:rsidR="00D5249C" w:rsidRPr="007A2017" w:rsidTr="00FD72FD">
        <w:tc>
          <w:tcPr>
            <w:tcW w:w="4322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CELSO LUÍS DE ÁVILA BUENO</w:t>
            </w:r>
          </w:p>
        </w:tc>
        <w:tc>
          <w:tcPr>
            <w:tcW w:w="4323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JOEL CARDOSO</w:t>
            </w:r>
          </w:p>
        </w:tc>
      </w:tr>
      <w:tr w:rsidR="00D5249C" w:rsidRPr="007A2017" w:rsidTr="00FD72FD">
        <w:tc>
          <w:tcPr>
            <w:tcW w:w="4322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CLÁUDIO PERESSIM</w:t>
            </w:r>
          </w:p>
        </w:tc>
        <w:tc>
          <w:tcPr>
            <w:tcW w:w="4323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JOSÉ ANTONIO FERREIRA</w:t>
            </w:r>
          </w:p>
        </w:tc>
      </w:tr>
      <w:tr w:rsidR="00D5249C" w:rsidRPr="007A2017" w:rsidTr="00FD72FD">
        <w:tc>
          <w:tcPr>
            <w:tcW w:w="4322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DUCIMAR DE JESUS CARDOSO</w:t>
            </w:r>
          </w:p>
        </w:tc>
        <w:tc>
          <w:tcPr>
            <w:tcW w:w="4323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JOSÉ LUIS FORNASARI</w:t>
            </w:r>
          </w:p>
        </w:tc>
      </w:tr>
      <w:tr w:rsidR="00D5249C" w:rsidRPr="007A2017" w:rsidTr="00FD72FD">
        <w:tc>
          <w:tcPr>
            <w:tcW w:w="4322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EDIVALDO SILVA MEIRA</w:t>
            </w:r>
          </w:p>
        </w:tc>
        <w:tc>
          <w:tcPr>
            <w:tcW w:w="4323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PAULO CÉSAR MONARO</w:t>
            </w:r>
          </w:p>
        </w:tc>
      </w:tr>
      <w:tr w:rsidR="00D5249C" w:rsidRPr="007A2017" w:rsidTr="00FD72FD">
        <w:tc>
          <w:tcPr>
            <w:tcW w:w="4322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EDMILSON IGNÁCIO ROCHA</w:t>
            </w:r>
          </w:p>
        </w:tc>
        <w:tc>
          <w:tcPr>
            <w:tcW w:w="4323" w:type="dxa"/>
          </w:tcPr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49C" w:rsidRPr="007A2017" w:rsidRDefault="00D5249C" w:rsidP="00FD7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VALDENOR DE JESUS GONÇALVES FONSECA</w:t>
            </w:r>
          </w:p>
        </w:tc>
      </w:tr>
    </w:tbl>
    <w:p w:rsidR="009F196D" w:rsidRPr="00CF7F49" w:rsidRDefault="009F196D" w:rsidP="00D5249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2B293D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CD" w:rsidRDefault="007F65CD">
      <w:r>
        <w:separator/>
      </w:r>
    </w:p>
  </w:endnote>
  <w:endnote w:type="continuationSeparator" w:id="0">
    <w:p w:rsidR="007F65CD" w:rsidRDefault="007F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CD" w:rsidRDefault="007F65CD">
      <w:r>
        <w:separator/>
      </w:r>
    </w:p>
  </w:footnote>
  <w:footnote w:type="continuationSeparator" w:id="0">
    <w:p w:rsidR="007F65CD" w:rsidRDefault="007F6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466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46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C46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51a9267c6d47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B293D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7B129A"/>
    <w:rsid w:val="007F65CD"/>
    <w:rsid w:val="009F196D"/>
    <w:rsid w:val="00A177EC"/>
    <w:rsid w:val="00A71CAF"/>
    <w:rsid w:val="00A9035B"/>
    <w:rsid w:val="00AC1053"/>
    <w:rsid w:val="00AE702A"/>
    <w:rsid w:val="00B2282A"/>
    <w:rsid w:val="00CC4667"/>
    <w:rsid w:val="00CD613B"/>
    <w:rsid w:val="00CF7F49"/>
    <w:rsid w:val="00D26CB3"/>
    <w:rsid w:val="00D5249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CC466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D5249C"/>
  </w:style>
  <w:style w:type="paragraph" w:styleId="SemEspaamento">
    <w:name w:val="No Spacing"/>
    <w:qFormat/>
    <w:rsid w:val="00D5249C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D5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CC466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CC466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D5249C"/>
  </w:style>
  <w:style w:type="paragraph" w:styleId="SemEspaamento">
    <w:name w:val="No Spacing"/>
    <w:qFormat/>
    <w:rsid w:val="00D5249C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D5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CC46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276782-929e-4862-8325-f685b867c65a.png" Id="Re99acd6ed05d47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8276782-929e-4862-8325-f685b867c65a.png" Id="R2e51a9267c6d47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2019-11-12T15:38:00Z</dcterms:created>
  <dcterms:modified xsi:type="dcterms:W3CDTF">2019-11-12T15:38:00Z</dcterms:modified>
</cp:coreProperties>
</file>