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774A57">
        <w:rPr>
          <w:rFonts w:ascii="Arial" w:hAnsi="Arial" w:cs="Arial"/>
        </w:rPr>
        <w:t>05057</w:t>
      </w:r>
      <w:r w:rsidRPr="00C355D1">
        <w:rPr>
          <w:rFonts w:ascii="Arial" w:hAnsi="Arial" w:cs="Arial"/>
        </w:rPr>
        <w:t>/</w:t>
      </w:r>
      <w:r w:rsidR="00774A5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FF7D72">
        <w:rPr>
          <w:rFonts w:ascii="Arial" w:hAnsi="Arial" w:cs="Arial"/>
          <w:sz w:val="24"/>
          <w:szCs w:val="24"/>
        </w:rPr>
        <w:t>P</w:t>
      </w:r>
      <w:r w:rsidR="003611E7">
        <w:rPr>
          <w:rFonts w:ascii="Arial" w:hAnsi="Arial" w:cs="Arial"/>
          <w:sz w:val="24"/>
          <w:szCs w:val="24"/>
        </w:rPr>
        <w:t>aulo d</w:t>
      </w:r>
      <w:r w:rsidR="00DE7CC0">
        <w:rPr>
          <w:rFonts w:ascii="Arial" w:hAnsi="Arial" w:cs="Arial"/>
          <w:sz w:val="24"/>
          <w:szCs w:val="24"/>
        </w:rPr>
        <w:t xml:space="preserve">e </w:t>
      </w:r>
      <w:r w:rsidR="003611E7">
        <w:rPr>
          <w:rFonts w:ascii="Arial" w:hAnsi="Arial" w:cs="Arial"/>
          <w:sz w:val="24"/>
          <w:szCs w:val="24"/>
        </w:rPr>
        <w:t xml:space="preserve">Godoy de fronte </w:t>
      </w:r>
      <w:r w:rsidR="00DE7CC0">
        <w:rPr>
          <w:rFonts w:ascii="Arial" w:hAnsi="Arial" w:cs="Arial"/>
          <w:sz w:val="24"/>
          <w:szCs w:val="24"/>
        </w:rPr>
        <w:t xml:space="preserve"> ao nª</w:t>
      </w:r>
      <w:r w:rsidR="003611E7">
        <w:rPr>
          <w:rFonts w:ascii="Arial" w:hAnsi="Arial" w:cs="Arial"/>
          <w:sz w:val="24"/>
          <w:szCs w:val="24"/>
        </w:rPr>
        <w:t>509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611E7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>a operação “tapa-buracos” (aberto pelo DAE</w:t>
      </w:r>
      <w:r w:rsidR="003611E7" w:rsidRPr="003611E7">
        <w:rPr>
          <w:rFonts w:ascii="Arial" w:hAnsi="Arial" w:cs="Arial"/>
          <w:sz w:val="24"/>
          <w:szCs w:val="24"/>
        </w:rPr>
        <w:t xml:space="preserve"> </w:t>
      </w:r>
      <w:r w:rsidR="003611E7">
        <w:rPr>
          <w:rFonts w:ascii="Arial" w:hAnsi="Arial" w:cs="Arial"/>
          <w:sz w:val="24"/>
          <w:szCs w:val="24"/>
        </w:rPr>
        <w:t>na Rua Paulo de Godoy de fronte ao nª509, no bairro Residencial Furlan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3611E7">
        <w:rPr>
          <w:rFonts w:ascii="Arial" w:hAnsi="Arial" w:cs="Arial"/>
        </w:rPr>
        <w:t xml:space="preserve"> </w:t>
      </w:r>
      <w:r w:rsidR="00FF7D72">
        <w:rPr>
          <w:rFonts w:ascii="Arial" w:hAnsi="Arial" w:cs="Arial"/>
        </w:rPr>
        <w:t xml:space="preserve">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1E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611E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5A" w:rsidRDefault="00AA7B5A">
      <w:r>
        <w:separator/>
      </w:r>
    </w:p>
  </w:endnote>
  <w:endnote w:type="continuationSeparator" w:id="0">
    <w:p w:rsidR="00AA7B5A" w:rsidRDefault="00AA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5A" w:rsidRDefault="00AA7B5A">
      <w:r>
        <w:separator/>
      </w:r>
    </w:p>
  </w:footnote>
  <w:footnote w:type="continuationSeparator" w:id="0">
    <w:p w:rsidR="00AA7B5A" w:rsidRDefault="00AA7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1F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1F19" w:rsidRPr="00841F19" w:rsidRDefault="00841F19" w:rsidP="00841F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1F19">
                  <w:rPr>
                    <w:rFonts w:ascii="Arial" w:hAnsi="Arial" w:cs="Arial"/>
                    <w:b/>
                  </w:rPr>
                  <w:t>PROTOCOLO Nº: 09120/2013     DATA: 13/09/2013     HORA: 12:21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4538B"/>
    <w:rsid w:val="003611E7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C67D9"/>
    <w:rsid w:val="00705ABB"/>
    <w:rsid w:val="007673DE"/>
    <w:rsid w:val="00774A57"/>
    <w:rsid w:val="00841F19"/>
    <w:rsid w:val="008F3DD6"/>
    <w:rsid w:val="008F7E42"/>
    <w:rsid w:val="00987A78"/>
    <w:rsid w:val="009A7C1A"/>
    <w:rsid w:val="009F196D"/>
    <w:rsid w:val="00A44025"/>
    <w:rsid w:val="00A7103E"/>
    <w:rsid w:val="00A71CAF"/>
    <w:rsid w:val="00A869F6"/>
    <w:rsid w:val="00A9035B"/>
    <w:rsid w:val="00AA7B5A"/>
    <w:rsid w:val="00AC4469"/>
    <w:rsid w:val="00AE702A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26A6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