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1708C">
        <w:rPr>
          <w:rFonts w:ascii="Arial" w:hAnsi="Arial" w:cs="Arial"/>
        </w:rPr>
        <w:t>05544</w:t>
      </w:r>
      <w:r w:rsidRPr="00F75516">
        <w:rPr>
          <w:rFonts w:ascii="Arial" w:hAnsi="Arial" w:cs="Arial"/>
        </w:rPr>
        <w:t>/</w:t>
      </w:r>
      <w:r w:rsidR="00C1708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0567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 xml:space="preserve">o cruzamento central da Avenida São Paulo com a Rua Lorena, </w:t>
      </w:r>
      <w:r w:rsidR="00A35AE9" w:rsidRPr="00F75516">
        <w:rPr>
          <w:rFonts w:ascii="Arial" w:hAnsi="Arial" w:cs="Arial"/>
          <w:sz w:val="24"/>
          <w:szCs w:val="24"/>
        </w:rPr>
        <w:t xml:space="preserve"> no bairro Jardim </w:t>
      </w:r>
      <w:r>
        <w:rPr>
          <w:rFonts w:ascii="Arial" w:hAnsi="Arial" w:cs="Arial"/>
          <w:sz w:val="24"/>
          <w:szCs w:val="24"/>
        </w:rPr>
        <w:t>Esmeralda.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10567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10567D">
        <w:rPr>
          <w:rFonts w:ascii="Arial" w:hAnsi="Arial" w:cs="Arial"/>
          <w:bCs/>
          <w:sz w:val="24"/>
          <w:szCs w:val="24"/>
        </w:rPr>
        <w:t xml:space="preserve">o cruzamento central da Avenida São Paulo com a Rua Lorena, </w:t>
      </w:r>
      <w:r w:rsidRPr="00F75516">
        <w:rPr>
          <w:rFonts w:ascii="Arial" w:hAnsi="Arial" w:cs="Arial"/>
          <w:bCs/>
          <w:sz w:val="24"/>
          <w:szCs w:val="24"/>
        </w:rPr>
        <w:t xml:space="preserve"> no bairro Jardim </w:t>
      </w:r>
      <w:r w:rsidR="0010567D">
        <w:rPr>
          <w:rFonts w:ascii="Arial" w:hAnsi="Arial" w:cs="Arial"/>
          <w:bCs/>
          <w:sz w:val="24"/>
          <w:szCs w:val="24"/>
        </w:rPr>
        <w:t>Esmeralda.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0567D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0567D">
        <w:rPr>
          <w:rFonts w:ascii="Arial" w:hAnsi="Arial" w:cs="Arial"/>
          <w:sz w:val="24"/>
          <w:szCs w:val="24"/>
        </w:rPr>
        <w:t>outub</w:t>
      </w:r>
      <w:r w:rsidRPr="00F75516">
        <w:rPr>
          <w:rFonts w:ascii="Arial" w:hAnsi="Arial" w:cs="Arial"/>
          <w:sz w:val="24"/>
          <w:szCs w:val="24"/>
        </w:rPr>
        <w:t>ro de 2.0</w:t>
      </w:r>
      <w:r w:rsidR="0010567D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0567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C6" w:rsidRDefault="001266C6">
      <w:r>
        <w:separator/>
      </w:r>
    </w:p>
  </w:endnote>
  <w:endnote w:type="continuationSeparator" w:id="0">
    <w:p w:rsidR="001266C6" w:rsidRDefault="0012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C6" w:rsidRDefault="001266C6">
      <w:r>
        <w:separator/>
      </w:r>
    </w:p>
  </w:footnote>
  <w:footnote w:type="continuationSeparator" w:id="0">
    <w:p w:rsidR="001266C6" w:rsidRDefault="00126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D01A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D01AC" w:rsidRPr="001D01AC" w:rsidRDefault="001D01AC" w:rsidP="001D01A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D01AC">
                  <w:rPr>
                    <w:rFonts w:ascii="Arial" w:hAnsi="Arial" w:cs="Arial"/>
                    <w:b/>
                  </w:rPr>
                  <w:t>PROTOCOLO Nº: 10075/2013     DATA: 11/10/2013     HORA: 12:33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0567D"/>
    <w:rsid w:val="00126512"/>
    <w:rsid w:val="001266C6"/>
    <w:rsid w:val="001B478A"/>
    <w:rsid w:val="001D01AC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92738C"/>
    <w:rsid w:val="009F196D"/>
    <w:rsid w:val="00A35AE9"/>
    <w:rsid w:val="00A71CAF"/>
    <w:rsid w:val="00A9035B"/>
    <w:rsid w:val="00AE702A"/>
    <w:rsid w:val="00C1708C"/>
    <w:rsid w:val="00CD613B"/>
    <w:rsid w:val="00CF7F49"/>
    <w:rsid w:val="00D26CB3"/>
    <w:rsid w:val="00DF560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