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963FCA">
        <w:rPr>
          <w:rFonts w:ascii="Arial" w:hAnsi="Arial" w:cs="Arial"/>
          <w:sz w:val="24"/>
          <w:szCs w:val="24"/>
        </w:rPr>
        <w:t>da Agricultura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287583">
        <w:rPr>
          <w:rFonts w:ascii="Arial" w:hAnsi="Arial" w:cs="Arial"/>
          <w:sz w:val="24"/>
          <w:szCs w:val="24"/>
        </w:rPr>
        <w:t xml:space="preserve">defronte ao nº </w:t>
      </w:r>
      <w:r w:rsidR="00963FCA">
        <w:rPr>
          <w:rFonts w:ascii="Arial" w:hAnsi="Arial" w:cs="Arial"/>
          <w:sz w:val="24"/>
          <w:szCs w:val="24"/>
        </w:rPr>
        <w:t>708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63FCA">
        <w:rPr>
          <w:rFonts w:ascii="Arial" w:hAnsi="Arial" w:cs="Arial"/>
          <w:sz w:val="24"/>
          <w:szCs w:val="24"/>
        </w:rPr>
        <w:t>Loteamento Industrial</w:t>
      </w:r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r w:rsidR="00963FCA">
        <w:rPr>
          <w:rFonts w:ascii="Arial" w:hAnsi="Arial" w:cs="Arial"/>
          <w:sz w:val="24"/>
          <w:szCs w:val="24"/>
        </w:rPr>
        <w:t>Rua da Agricultura defronte ao nº 708, no bairro Loteamento Industrial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B2">
        <w:rPr>
          <w:rFonts w:ascii="Arial" w:hAnsi="Arial" w:cs="Arial"/>
          <w:sz w:val="24"/>
          <w:szCs w:val="24"/>
        </w:rPr>
        <w:t>0</w:t>
      </w:r>
      <w:r w:rsidR="00963FCA">
        <w:rPr>
          <w:rFonts w:ascii="Arial" w:hAnsi="Arial" w:cs="Arial"/>
          <w:sz w:val="24"/>
          <w:szCs w:val="24"/>
        </w:rPr>
        <w:t>2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963FCA">
        <w:rPr>
          <w:rFonts w:ascii="Arial" w:hAnsi="Arial" w:cs="Arial"/>
          <w:sz w:val="24"/>
          <w:szCs w:val="24"/>
        </w:rPr>
        <w:t>Outubro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4f945abde64f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2E39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bbafa7-fc30-4ebb-bb31-23ce1b8c882d.png" Id="R5c473a97ad4949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bbafa7-fc30-4ebb-bb31-23ce1b8c882d.png" Id="R6d4f945abde64f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2017-10-02T19:35:00Z</dcterms:created>
  <dcterms:modified xsi:type="dcterms:W3CDTF">2017-10-02T19:35:00Z</dcterms:modified>
</cp:coreProperties>
</file>