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DC" w:rsidRDefault="00D711D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711DC" w:rsidRDefault="00D711DC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711DC">
        <w:rPr>
          <w:rFonts w:ascii="Arial" w:hAnsi="Arial" w:cs="Arial"/>
          <w:sz w:val="24"/>
          <w:szCs w:val="24"/>
        </w:rPr>
        <w:t xml:space="preserve">melhoria da sinalização de parada obrigatória “PARE” do solo, entre a Rua do Aço e a Rua Luiz </w:t>
      </w:r>
      <w:proofErr w:type="spellStart"/>
      <w:r w:rsidR="00D711DC">
        <w:rPr>
          <w:rFonts w:ascii="Arial" w:hAnsi="Arial" w:cs="Arial"/>
          <w:sz w:val="24"/>
          <w:szCs w:val="24"/>
        </w:rPr>
        <w:t>Monaro</w:t>
      </w:r>
      <w:proofErr w:type="spellEnd"/>
      <w:r w:rsidR="00D711DC">
        <w:rPr>
          <w:rFonts w:ascii="Arial" w:hAnsi="Arial" w:cs="Arial"/>
          <w:sz w:val="24"/>
          <w:szCs w:val="24"/>
        </w:rPr>
        <w:t>, no cruzamento com a Rua do Centeio, no Bairro Jardim São Fernando.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11DC" w:rsidRPr="00D711DC" w:rsidRDefault="009A7C1A" w:rsidP="00D711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711D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711DC" w:rsidRPr="00D711DC">
        <w:rPr>
          <w:rFonts w:ascii="Arial" w:hAnsi="Arial" w:cs="Arial"/>
          <w:bCs/>
          <w:sz w:val="24"/>
          <w:szCs w:val="24"/>
        </w:rPr>
        <w:t xml:space="preserve">melhoria da sinalização de parada obrigatória “PARE” do solo, entre </w:t>
      </w:r>
      <w:r w:rsidR="00D711DC">
        <w:rPr>
          <w:rFonts w:ascii="Arial" w:hAnsi="Arial" w:cs="Arial"/>
          <w:bCs/>
          <w:sz w:val="24"/>
          <w:szCs w:val="24"/>
        </w:rPr>
        <w:t>a</w:t>
      </w:r>
      <w:r w:rsidR="00D711DC" w:rsidRPr="00D711DC">
        <w:rPr>
          <w:rFonts w:ascii="Arial" w:hAnsi="Arial" w:cs="Arial"/>
          <w:bCs/>
          <w:sz w:val="24"/>
          <w:szCs w:val="24"/>
        </w:rPr>
        <w:t xml:space="preserve"> Rua do Aço e a Rua Luiz </w:t>
      </w:r>
      <w:proofErr w:type="spellStart"/>
      <w:r w:rsidR="00D711DC" w:rsidRPr="00D711DC">
        <w:rPr>
          <w:rFonts w:ascii="Arial" w:hAnsi="Arial" w:cs="Arial"/>
          <w:bCs/>
          <w:sz w:val="24"/>
          <w:szCs w:val="24"/>
        </w:rPr>
        <w:t>Monaro</w:t>
      </w:r>
      <w:proofErr w:type="spellEnd"/>
      <w:r w:rsidR="00D711DC" w:rsidRPr="00D711DC">
        <w:rPr>
          <w:rFonts w:ascii="Arial" w:hAnsi="Arial" w:cs="Arial"/>
          <w:bCs/>
          <w:sz w:val="24"/>
          <w:szCs w:val="24"/>
        </w:rPr>
        <w:t>, no cruzamento com a Rua do Centeio, no Bairro Jardim São Fernando.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711D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Jardim São Fernando, informando que a sinalização de solo está quase invisível, havendo a necessidade de nova pintura, pois o local é de muita movimentação de veículos automotores, podendo provocar acidentes.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11DC" w:rsidRDefault="00D711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11DC" w:rsidRPr="00C355D1" w:rsidRDefault="00D711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11DC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711DC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D711DC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711D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9F" w:rsidRDefault="00191B9F">
      <w:r>
        <w:separator/>
      </w:r>
    </w:p>
  </w:endnote>
  <w:endnote w:type="continuationSeparator" w:id="0">
    <w:p w:rsidR="00191B9F" w:rsidRDefault="0019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46F" w:rsidRDefault="0072046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46F" w:rsidRDefault="0072046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46F" w:rsidRDefault="007204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9F" w:rsidRDefault="00191B9F">
      <w:r>
        <w:separator/>
      </w:r>
    </w:p>
  </w:footnote>
  <w:footnote w:type="continuationSeparator" w:id="0">
    <w:p w:rsidR="00191B9F" w:rsidRDefault="00191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46F" w:rsidRDefault="0072046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1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7f55c9493247f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46F" w:rsidRDefault="007204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1B9F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2046F"/>
    <w:rsid w:val="0080514C"/>
    <w:rsid w:val="009A7C1A"/>
    <w:rsid w:val="009F196D"/>
    <w:rsid w:val="00A71CAF"/>
    <w:rsid w:val="00A9035B"/>
    <w:rsid w:val="00AE702A"/>
    <w:rsid w:val="00CD613B"/>
    <w:rsid w:val="00CF7F49"/>
    <w:rsid w:val="00D26CB3"/>
    <w:rsid w:val="00D711DC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4d5ed68c-06f2-4a6e-9ec9-88f8211817a7.png" Id="R2961cef729c4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4d5ed68c-06f2-4a6e-9ec9-88f8211817a7.png" Id="R767f55c9493247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2017-08-10T20:04:00Z</dcterms:created>
  <dcterms:modified xsi:type="dcterms:W3CDTF">2017-08-11T16:01:00Z</dcterms:modified>
</cp:coreProperties>
</file>