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C93F69">
        <w:rPr>
          <w:rFonts w:ascii="Arial" w:hAnsi="Arial" w:cs="Arial"/>
          <w:sz w:val="24"/>
          <w:szCs w:val="24"/>
        </w:rPr>
        <w:t xml:space="preserve">Avenida Amadeu Tortelli defronte o nº 150 no Conjunto Habitacional Trabalhadores.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C93F69">
        <w:rPr>
          <w:rFonts w:ascii="Arial" w:hAnsi="Arial" w:cs="Arial"/>
          <w:sz w:val="24"/>
          <w:szCs w:val="24"/>
        </w:rPr>
        <w:t>Avenida Amadeu Tortelli defronte o nº 150 no Conjunto Habitacional Trabalhadores.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C93F6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6a07608d4248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adccff-0359-471d-950e-44ec1960dcf8.png" Id="Rd9d00a21f3b14c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adccff-0359-471d-950e-44ec1960dcf8.png" Id="R7a6a07608d4248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E1A9-77B7-4C1F-9B51-B2344CF7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111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346</cp:revision>
  <cp:lastPrinted>2014-10-17T18:19:00Z</cp:lastPrinted>
  <dcterms:created xsi:type="dcterms:W3CDTF">2014-01-16T16:53:00Z</dcterms:created>
  <dcterms:modified xsi:type="dcterms:W3CDTF">2017-07-14T20:02:00Z</dcterms:modified>
</cp:coreProperties>
</file>