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FB1909">
        <w:rPr>
          <w:rFonts w:ascii="Arial" w:hAnsi="Arial" w:cs="Arial"/>
          <w:sz w:val="24"/>
          <w:szCs w:val="24"/>
        </w:rPr>
        <w:t>Ubirajara Alves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FB1909">
        <w:rPr>
          <w:rFonts w:ascii="Arial" w:hAnsi="Arial" w:cs="Arial"/>
          <w:sz w:val="24"/>
          <w:szCs w:val="24"/>
        </w:rPr>
        <w:t>299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FB1909" w:rsidRPr="00FB1909">
        <w:rPr>
          <w:rFonts w:ascii="Arial" w:hAnsi="Arial" w:cs="Arial"/>
          <w:sz w:val="24"/>
          <w:szCs w:val="24"/>
        </w:rPr>
        <w:t>Rua Ubirajara Alves, Defronte ao nº 299,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909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1909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283fa623e24e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a57d8b-d9b3-4c45-b4d9-a3db6974f1de.png" Id="R3258db674e5345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a57d8b-d9b3-4c45-b4d9-a3db6974f1de.png" Id="R7a283fa623e24e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2017-07-19T14:10:00Z</dcterms:created>
  <dcterms:modified xsi:type="dcterms:W3CDTF">2017-07-19T14:10:00Z</dcterms:modified>
</cp:coreProperties>
</file>