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423AA">
        <w:rPr>
          <w:rFonts w:ascii="Arial" w:hAnsi="Arial" w:cs="Arial"/>
          <w:sz w:val="24"/>
          <w:szCs w:val="24"/>
        </w:rPr>
        <w:t>revitalização da iluminação na Rua Peregrino de Oliveira Lino, principalmente no quarteirão do nº 388 no Bairro Linópolis.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3AA" w:rsidRDefault="00A35AE9" w:rsidP="009423A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9423AA">
        <w:rPr>
          <w:rFonts w:ascii="Arial" w:hAnsi="Arial" w:cs="Arial"/>
          <w:sz w:val="24"/>
          <w:szCs w:val="24"/>
        </w:rPr>
        <w:t>a revitalização da iluminação na Rua Peregrino de Oliveira Lino, principalmente no quarteirão do nº 388 no Bairro Linópolis.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</w:t>
      </w:r>
      <w:r w:rsidR="009423AA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9423AA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7e3246b3e4d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3AA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80edc9-336a-4f3c-8e24-6112cc3b8f4a.png" Id="R3881c93e97244e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80edc9-336a-4f3c-8e24-6112cc3b8f4a.png" Id="R9207e3246b3e4d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B8AB-F30E-45D7-A020-0D62D3C0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2017-02-15T13:02:00Z</dcterms:modified>
</cp:coreProperties>
</file>