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>na</w:t>
      </w:r>
      <w:r w:rsidR="00653A75">
        <w:rPr>
          <w:rFonts w:ascii="Arial" w:hAnsi="Arial" w:cs="Arial"/>
          <w:sz w:val="24"/>
          <w:szCs w:val="24"/>
        </w:rPr>
        <w:t xml:space="preserve"> Avenida</w:t>
      </w:r>
      <w:r w:rsidR="00AC33C1">
        <w:rPr>
          <w:rFonts w:ascii="Arial" w:hAnsi="Arial" w:cs="Arial"/>
          <w:sz w:val="24"/>
          <w:szCs w:val="24"/>
        </w:rPr>
        <w:t xml:space="preserve"> </w:t>
      </w:r>
      <w:r w:rsidR="00653A75">
        <w:rPr>
          <w:rFonts w:ascii="Arial" w:hAnsi="Arial" w:cs="Arial"/>
          <w:sz w:val="24"/>
          <w:szCs w:val="24"/>
        </w:rPr>
        <w:t xml:space="preserve">Domingos </w:t>
      </w:r>
      <w:proofErr w:type="spellStart"/>
      <w:r w:rsidR="00653A75">
        <w:rPr>
          <w:rFonts w:ascii="Arial" w:hAnsi="Arial" w:cs="Arial"/>
          <w:sz w:val="24"/>
          <w:szCs w:val="24"/>
        </w:rPr>
        <w:t>Tedesco</w:t>
      </w:r>
      <w:proofErr w:type="spellEnd"/>
      <w:r w:rsidR="00653A75">
        <w:rPr>
          <w:rFonts w:ascii="Arial" w:hAnsi="Arial" w:cs="Arial"/>
          <w:sz w:val="24"/>
          <w:szCs w:val="24"/>
        </w:rPr>
        <w:t>, próximo ao nº 29</w:t>
      </w:r>
      <w:r w:rsidR="00CE751B">
        <w:rPr>
          <w:rFonts w:ascii="Arial" w:hAnsi="Arial" w:cs="Arial"/>
          <w:sz w:val="24"/>
          <w:szCs w:val="24"/>
        </w:rPr>
        <w:t>, no bairro</w:t>
      </w:r>
      <w:r w:rsidR="00653A75">
        <w:rPr>
          <w:rFonts w:ascii="Arial" w:hAnsi="Arial" w:cs="Arial"/>
          <w:sz w:val="24"/>
          <w:szCs w:val="24"/>
        </w:rPr>
        <w:t xml:space="preserve"> Parque Residencial Santa </w:t>
      </w:r>
      <w:proofErr w:type="spellStart"/>
      <w:r w:rsidR="00653A75">
        <w:rPr>
          <w:rFonts w:ascii="Arial" w:hAnsi="Arial" w:cs="Arial"/>
          <w:sz w:val="24"/>
          <w:szCs w:val="24"/>
        </w:rPr>
        <w:t>Ines</w:t>
      </w:r>
      <w:proofErr w:type="spellEnd"/>
      <w:r w:rsidR="00CE751B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653A75">
        <w:rPr>
          <w:rFonts w:ascii="Arial" w:hAnsi="Arial" w:cs="Arial"/>
          <w:sz w:val="24"/>
          <w:szCs w:val="24"/>
        </w:rPr>
        <w:t xml:space="preserve">Avenida Domingos </w:t>
      </w:r>
      <w:proofErr w:type="spellStart"/>
      <w:r w:rsidR="00653A75">
        <w:rPr>
          <w:rFonts w:ascii="Arial" w:hAnsi="Arial" w:cs="Arial"/>
          <w:sz w:val="24"/>
          <w:szCs w:val="24"/>
        </w:rPr>
        <w:t>Tedesco</w:t>
      </w:r>
      <w:proofErr w:type="spellEnd"/>
      <w:r w:rsidR="00653A75">
        <w:rPr>
          <w:rFonts w:ascii="Arial" w:hAnsi="Arial" w:cs="Arial"/>
          <w:sz w:val="24"/>
          <w:szCs w:val="24"/>
        </w:rPr>
        <w:t xml:space="preserve">, próximo ao nº 29, no bairro Parque Residencial Santa </w:t>
      </w:r>
      <w:proofErr w:type="spellStart"/>
      <w:r w:rsidR="00653A75">
        <w:rPr>
          <w:rFonts w:ascii="Arial" w:hAnsi="Arial" w:cs="Arial"/>
          <w:sz w:val="24"/>
          <w:szCs w:val="24"/>
        </w:rPr>
        <w:t>Ines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751B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BC" w:rsidRDefault="005348BC">
      <w:r>
        <w:separator/>
      </w:r>
    </w:p>
  </w:endnote>
  <w:endnote w:type="continuationSeparator" w:id="0">
    <w:p w:rsidR="005348BC" w:rsidRDefault="0053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BC" w:rsidRDefault="005348BC">
      <w:r>
        <w:separator/>
      </w:r>
    </w:p>
  </w:footnote>
  <w:footnote w:type="continuationSeparator" w:id="0">
    <w:p w:rsidR="005348BC" w:rsidRDefault="0053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08f0de41b24d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48BC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53A75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51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a6f795-444a-40cf-9417-b2a00176a70d.png" Id="R6cc32fb4844e45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a6f795-444a-40cf-9417-b2a00176a70d.png" Id="R6608f0de41b24d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2017-01-26T13:32:00Z</dcterms:created>
  <dcterms:modified xsi:type="dcterms:W3CDTF">2017-01-26T13:32:00Z</dcterms:modified>
</cp:coreProperties>
</file>