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996" w:rsidRPr="00135010" w:rsidRDefault="004B7996" w:rsidP="004B7996">
      <w:pPr>
        <w:pStyle w:val="Ttulo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135010">
        <w:rPr>
          <w:rFonts w:ascii="Arial" w:hAnsi="Arial" w:cs="Arial"/>
          <w:sz w:val="28"/>
          <w:szCs w:val="28"/>
        </w:rPr>
        <w:t xml:space="preserve">REQUERIMENTO Nº </w:t>
      </w:r>
      <w:r>
        <w:rPr>
          <w:rFonts w:ascii="Arial" w:hAnsi="Arial" w:cs="Arial"/>
          <w:sz w:val="28"/>
          <w:szCs w:val="28"/>
        </w:rPr>
        <w:t>111</w:t>
      </w:r>
      <w:r w:rsidRPr="00135010">
        <w:rPr>
          <w:rFonts w:ascii="Arial" w:hAnsi="Arial" w:cs="Arial"/>
          <w:sz w:val="28"/>
          <w:szCs w:val="28"/>
        </w:rPr>
        <w:t>/11</w:t>
      </w:r>
    </w:p>
    <w:p w:rsidR="004B7996" w:rsidRPr="00135010" w:rsidRDefault="004B7996" w:rsidP="004B799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35010">
        <w:rPr>
          <w:rFonts w:ascii="Arial" w:hAnsi="Arial" w:cs="Arial"/>
          <w:b/>
          <w:sz w:val="28"/>
          <w:szCs w:val="28"/>
          <w:u w:val="single"/>
        </w:rPr>
        <w:t>De Informações</w:t>
      </w:r>
    </w:p>
    <w:p w:rsidR="004B7996" w:rsidRDefault="004B7996" w:rsidP="004B7996">
      <w:pPr>
        <w:rPr>
          <w:rFonts w:ascii="Arial" w:hAnsi="Arial" w:cs="Arial"/>
          <w:b/>
          <w:sz w:val="22"/>
          <w:szCs w:val="22"/>
          <w:u w:val="single"/>
        </w:rPr>
      </w:pPr>
    </w:p>
    <w:p w:rsidR="004B7996" w:rsidRPr="00135010" w:rsidRDefault="004B7996" w:rsidP="004B7996">
      <w:pPr>
        <w:rPr>
          <w:rFonts w:ascii="Arial" w:hAnsi="Arial" w:cs="Arial"/>
          <w:b/>
          <w:sz w:val="22"/>
          <w:szCs w:val="22"/>
          <w:u w:val="single"/>
        </w:rPr>
      </w:pPr>
    </w:p>
    <w:p w:rsidR="004B7996" w:rsidRPr="00F4467B" w:rsidRDefault="004B7996" w:rsidP="004B7996">
      <w:pPr>
        <w:pStyle w:val="Recuodecorpodetexto"/>
        <w:spacing w:line="320" w:lineRule="exact"/>
        <w:ind w:left="4253"/>
        <w:rPr>
          <w:rFonts w:ascii="Arial" w:hAnsi="Arial" w:cs="Arial"/>
          <w:b/>
          <w:sz w:val="22"/>
          <w:szCs w:val="22"/>
        </w:rPr>
      </w:pPr>
      <w:r w:rsidRPr="00F4467B">
        <w:rPr>
          <w:rFonts w:ascii="Arial" w:hAnsi="Arial" w:cs="Arial"/>
          <w:b/>
          <w:sz w:val="22"/>
          <w:szCs w:val="22"/>
        </w:rPr>
        <w:t xml:space="preserve">“Referente aos índices de correção constantes da Lei n° 3073, de 13 de abril de 2009, que institui o Programa de Recuperação Fiscal para pessoas físicas e jurídicas”. </w:t>
      </w:r>
    </w:p>
    <w:p w:rsidR="004B7996" w:rsidRDefault="004B7996" w:rsidP="004B7996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4B7996" w:rsidRPr="00135010" w:rsidRDefault="004B7996" w:rsidP="004B7996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/>
          <w:sz w:val="22"/>
          <w:szCs w:val="22"/>
        </w:rPr>
      </w:pPr>
    </w:p>
    <w:p w:rsidR="004B7996" w:rsidRPr="00135010" w:rsidRDefault="004B7996" w:rsidP="004B7996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que,</w:t>
      </w:r>
      <w:r w:rsidRPr="00135010">
        <w:rPr>
          <w:rFonts w:ascii="Arial" w:hAnsi="Arial" w:cs="Arial"/>
          <w:sz w:val="22"/>
          <w:szCs w:val="22"/>
        </w:rPr>
        <w:t xml:space="preserve"> diversos munícipes procuraram por este vereador cobrando informações quanto aos índices de correção constantes da Lei n° 3.073/2009, que institui o REFIS - Programa de Recuperação Fiscal no âmbito do município de Santa Bárbara d’Oeste; </w:t>
      </w:r>
    </w:p>
    <w:p w:rsidR="004B7996" w:rsidRPr="00135010" w:rsidRDefault="004B7996" w:rsidP="004B7996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4B7996" w:rsidRPr="00135010" w:rsidRDefault="004B7996" w:rsidP="004B7996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que,</w:t>
      </w:r>
      <w:r w:rsidRPr="00135010">
        <w:rPr>
          <w:rFonts w:ascii="Arial" w:hAnsi="Arial" w:cs="Arial"/>
          <w:sz w:val="22"/>
          <w:szCs w:val="22"/>
        </w:rPr>
        <w:t xml:space="preserve"> vários munícipes se mostraram surpresos com a correção ocorrida de um exercício fiscal para outro, não compreendendo os índices utilizados para tanto, nem tampouco a forma como foram corrigidos os valores de parcelamento de débitos;</w:t>
      </w:r>
    </w:p>
    <w:p w:rsidR="004B7996" w:rsidRPr="00135010" w:rsidRDefault="004B7996" w:rsidP="004B7996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4B7996" w:rsidRPr="00135010" w:rsidRDefault="004B7996" w:rsidP="004B7996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4B7996" w:rsidRPr="00135010" w:rsidRDefault="004B7996" w:rsidP="004B7996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</w:t>
      </w:r>
      <w:r w:rsidRPr="00135010">
        <w:rPr>
          <w:rFonts w:ascii="Arial" w:hAnsi="Arial" w:cs="Arial"/>
          <w:sz w:val="22"/>
          <w:szCs w:val="22"/>
        </w:rPr>
        <w:t>, o § 2° do artigo 3° da citada lei, menciona que “ao montante objeto do parcelamento serão acrescidos juros compensatórios à razão de 1% (um por cento) ao mês e correção monetária pela variação do INPC, cujos acréscimos serão aplicados no mês de janeiro de cada exercício”;</w:t>
      </w:r>
    </w:p>
    <w:p w:rsidR="004B7996" w:rsidRPr="00135010" w:rsidRDefault="004B7996" w:rsidP="004B7996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4B7996" w:rsidRPr="00135010" w:rsidRDefault="004B7996" w:rsidP="004B7996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b/>
          <w:sz w:val="22"/>
          <w:szCs w:val="22"/>
        </w:rPr>
        <w:t>Considerando-se que,</w:t>
      </w:r>
      <w:r w:rsidRPr="00135010">
        <w:rPr>
          <w:rFonts w:ascii="Arial" w:hAnsi="Arial" w:cs="Arial"/>
          <w:sz w:val="22"/>
          <w:szCs w:val="22"/>
        </w:rPr>
        <w:t xml:space="preserve"> segundo informado pelos próprios munícipes, a diferença dos valores pagos de um exercício fiscal para o outro chega até a 20% (vinte por cento) de correção e, por essa razão, os mesmos não estão conseguindo entender os reajustes aplicados.</w:t>
      </w:r>
    </w:p>
    <w:p w:rsidR="004B7996" w:rsidRPr="00135010" w:rsidRDefault="004B7996" w:rsidP="004B7996">
      <w:pPr>
        <w:pStyle w:val="Recuodecorpodetexto"/>
        <w:spacing w:line="320" w:lineRule="exact"/>
        <w:ind w:left="0" w:firstLine="1440"/>
        <w:rPr>
          <w:rFonts w:ascii="Arial" w:hAnsi="Arial" w:cs="Arial"/>
          <w:sz w:val="22"/>
          <w:szCs w:val="22"/>
        </w:rPr>
      </w:pPr>
    </w:p>
    <w:p w:rsidR="004B7996" w:rsidRPr="00135010" w:rsidRDefault="004B7996" w:rsidP="004B7996">
      <w:pPr>
        <w:pStyle w:val="Recuodecorpodetexto"/>
        <w:spacing w:line="320" w:lineRule="exact"/>
        <w:ind w:left="0" w:firstLine="1440"/>
        <w:rPr>
          <w:rFonts w:ascii="Arial" w:hAnsi="Arial" w:cs="Arial"/>
          <w:b/>
          <w:sz w:val="22"/>
          <w:szCs w:val="22"/>
        </w:rPr>
      </w:pPr>
    </w:p>
    <w:p w:rsidR="004B7996" w:rsidRPr="00135010" w:rsidRDefault="004B7996" w:rsidP="004B7996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b/>
          <w:bCs/>
          <w:sz w:val="22"/>
          <w:szCs w:val="22"/>
        </w:rPr>
        <w:t>REQUEIRO</w:t>
      </w:r>
      <w:r w:rsidRPr="00135010">
        <w:rPr>
          <w:rFonts w:ascii="Arial" w:hAnsi="Arial" w:cs="Arial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4B7996" w:rsidRPr="00135010" w:rsidRDefault="004B7996" w:rsidP="004B7996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ab/>
      </w:r>
      <w:r w:rsidRPr="00135010">
        <w:rPr>
          <w:rFonts w:ascii="Arial" w:hAnsi="Arial" w:cs="Arial"/>
          <w:sz w:val="22"/>
          <w:szCs w:val="22"/>
        </w:rPr>
        <w:tab/>
        <w:t xml:space="preserve"> </w:t>
      </w:r>
    </w:p>
    <w:p w:rsidR="004B7996" w:rsidRPr="00135010" w:rsidRDefault="004B7996" w:rsidP="004B79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>Qual é a forma de correção adotada pela administração municipal para os casos objetos do REFIS?</w:t>
      </w:r>
    </w:p>
    <w:p w:rsidR="004B7996" w:rsidRPr="00135010" w:rsidRDefault="004B7996" w:rsidP="004B7996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4B7996" w:rsidRPr="00135010" w:rsidRDefault="004B7996" w:rsidP="004B79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>Somando-se os índices constantes do § 2° do artigo 3° da Lei 3.073/09 (1% por cento ao mês e correção monetária pela variação do INPC), qual o reajuste total aplicado para este exercício?</w:t>
      </w:r>
    </w:p>
    <w:p w:rsidR="004B7996" w:rsidRPr="00135010" w:rsidRDefault="004B7996" w:rsidP="004B7996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:rsidR="004B7996" w:rsidRPr="00135010" w:rsidRDefault="004B7996" w:rsidP="004B79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>Outras considerações necessárias.</w:t>
      </w:r>
    </w:p>
    <w:p w:rsidR="004B7996" w:rsidRPr="00135010" w:rsidRDefault="004B7996" w:rsidP="004B7996">
      <w:pPr>
        <w:widowControl w:val="0"/>
        <w:autoSpaceDE w:val="0"/>
        <w:autoSpaceDN w:val="0"/>
        <w:adjustRightInd w:val="0"/>
        <w:ind w:left="1410"/>
        <w:jc w:val="both"/>
        <w:rPr>
          <w:rFonts w:ascii="Arial" w:hAnsi="Arial" w:cs="Arial"/>
          <w:sz w:val="22"/>
          <w:szCs w:val="22"/>
        </w:rPr>
      </w:pPr>
    </w:p>
    <w:p w:rsidR="004B7996" w:rsidRPr="00135010" w:rsidRDefault="004B7996" w:rsidP="004B7996">
      <w:pPr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:rsidR="004B7996" w:rsidRPr="00135010" w:rsidRDefault="004B7996" w:rsidP="004B799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 xml:space="preserve">         </w:t>
      </w:r>
    </w:p>
    <w:p w:rsidR="004B7996" w:rsidRPr="00135010" w:rsidRDefault="004B7996" w:rsidP="004B7996">
      <w:pPr>
        <w:jc w:val="center"/>
        <w:rPr>
          <w:rFonts w:ascii="Arial" w:hAnsi="Arial" w:cs="Arial"/>
          <w:sz w:val="22"/>
          <w:szCs w:val="22"/>
        </w:rPr>
      </w:pPr>
      <w:r w:rsidRPr="00135010">
        <w:rPr>
          <w:rFonts w:ascii="Arial" w:hAnsi="Arial" w:cs="Arial"/>
          <w:sz w:val="22"/>
          <w:szCs w:val="22"/>
        </w:rPr>
        <w:t>Palácio 15 de Junho - Plenário Dr. Tancredo Neves, 11 de fevereiro de 2011.</w:t>
      </w:r>
    </w:p>
    <w:p w:rsidR="004B7996" w:rsidRPr="00F9534A" w:rsidRDefault="004B7996" w:rsidP="004B7996">
      <w:pPr>
        <w:rPr>
          <w:rFonts w:ascii="Bookman Old Style" w:hAnsi="Bookman Old Style"/>
          <w:sz w:val="24"/>
          <w:szCs w:val="24"/>
        </w:rPr>
      </w:pPr>
    </w:p>
    <w:p w:rsidR="004B7996" w:rsidRPr="00F9534A" w:rsidRDefault="004B7996" w:rsidP="004B799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B7996" w:rsidRDefault="004B7996" w:rsidP="004B799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B7996" w:rsidRPr="00F9534A" w:rsidRDefault="004B7996" w:rsidP="004B799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B7996" w:rsidRPr="00704CF4" w:rsidRDefault="004B7996" w:rsidP="004B7996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JUCA BORTOLUCCI – PSDB</w:t>
      </w:r>
    </w:p>
    <w:p w:rsidR="004B7996" w:rsidRDefault="004B7996" w:rsidP="004B7996">
      <w:pPr>
        <w:jc w:val="center"/>
        <w:rPr>
          <w:rFonts w:ascii="Bookman Old Style" w:hAnsi="Bookman Old Style"/>
          <w:sz w:val="24"/>
          <w:szCs w:val="24"/>
        </w:rPr>
      </w:pPr>
      <w:r w:rsidRPr="00704CF4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ereador</w:t>
      </w:r>
      <w:r w:rsidRPr="00704CF4">
        <w:rPr>
          <w:rFonts w:ascii="Arial" w:hAnsi="Arial" w:cs="Arial"/>
          <w:b/>
          <w:sz w:val="22"/>
          <w:szCs w:val="22"/>
        </w:rPr>
        <w:t xml:space="preserve"> - 2º S</w:t>
      </w:r>
      <w:r>
        <w:rPr>
          <w:rFonts w:ascii="Arial" w:hAnsi="Arial" w:cs="Arial"/>
          <w:b/>
          <w:sz w:val="22"/>
          <w:szCs w:val="22"/>
        </w:rPr>
        <w:t>ecretário</w:t>
      </w:r>
    </w:p>
    <w:p w:rsidR="004B7996" w:rsidRPr="00D958F1" w:rsidRDefault="004B7996" w:rsidP="004B7996">
      <w:pPr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26C" w:rsidRDefault="00A8026C">
      <w:r>
        <w:separator/>
      </w:r>
    </w:p>
  </w:endnote>
  <w:endnote w:type="continuationSeparator" w:id="0">
    <w:p w:rsidR="00A8026C" w:rsidRDefault="00A8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26C" w:rsidRDefault="00A8026C">
      <w:r>
        <w:separator/>
      </w:r>
    </w:p>
  </w:footnote>
  <w:footnote w:type="continuationSeparator" w:id="0">
    <w:p w:rsidR="00A8026C" w:rsidRDefault="00A80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92789"/>
    <w:multiLevelType w:val="hybridMultilevel"/>
    <w:tmpl w:val="96EC4500"/>
    <w:lvl w:ilvl="0" w:tplc="444CA0F6">
      <w:start w:val="1"/>
      <w:numFmt w:val="decimal"/>
      <w:lvlText w:val="%1-"/>
      <w:lvlJc w:val="left"/>
      <w:pPr>
        <w:tabs>
          <w:tab w:val="num" w:pos="1950"/>
        </w:tabs>
        <w:ind w:left="1950" w:hanging="54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32CDA"/>
    <w:rsid w:val="004B7996"/>
    <w:rsid w:val="004C67DE"/>
    <w:rsid w:val="009F196D"/>
    <w:rsid w:val="00A8026C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4B7996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4B7996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4B7996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B7996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1679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