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B9A" w:rsidRDefault="004F7B9A" w:rsidP="00E11BA5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d’Oeste</w:t>
      </w:r>
    </w:p>
    <w:p w:rsidR="004F7B9A" w:rsidRDefault="004F7B9A" w:rsidP="00E11BA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4F7B9A" w:rsidRDefault="004F7B9A" w:rsidP="00E11BA5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4F7B9A" w:rsidRDefault="004F7B9A" w:rsidP="00E11BA5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tbl>
      <w:tblPr>
        <w:tblW w:w="5193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4"/>
        <w:gridCol w:w="4353"/>
        <w:gridCol w:w="416"/>
      </w:tblGrid>
      <w:tr w:rsidR="004F7B9A" w:rsidRPr="00363F20">
        <w:trPr>
          <w:trHeight w:val="375"/>
          <w:tblCellSpacing w:w="0" w:type="dxa"/>
        </w:trPr>
        <w:tc>
          <w:tcPr>
            <w:tcW w:w="9179" w:type="dxa"/>
            <w:gridSpan w:val="3"/>
            <w:shd w:val="clear" w:color="auto" w:fill="auto"/>
            <w:vAlign w:val="center"/>
          </w:tcPr>
          <w:p w:rsidR="004F7B9A" w:rsidRPr="00363F20" w:rsidRDefault="004F7B9A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363F20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PROJETO DE LEI Nº </w:t>
            </w:r>
            <w:r>
              <w:rPr>
                <w:rFonts w:ascii="Bookman Old Style" w:hAnsi="Bookman Old Style"/>
                <w:b/>
                <w:bCs/>
                <w:sz w:val="28"/>
                <w:szCs w:val="28"/>
              </w:rPr>
              <w:t>42</w:t>
            </w:r>
            <w:r w:rsidRPr="00363F20">
              <w:rPr>
                <w:rFonts w:ascii="Bookman Old Style" w:hAnsi="Bookman Old Style"/>
                <w:b/>
                <w:bCs/>
                <w:sz w:val="28"/>
                <w:szCs w:val="28"/>
              </w:rPr>
              <w:t>/2010</w:t>
            </w:r>
          </w:p>
          <w:p w:rsidR="004F7B9A" w:rsidRPr="00363F20" w:rsidRDefault="004F7B9A" w:rsidP="00E11BA5">
            <w:pPr>
              <w:spacing w:before="100" w:beforeAutospacing="1" w:after="100" w:afterAutospacing="1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F7B9A" w:rsidRPr="00363F20">
        <w:trPr>
          <w:tblCellSpacing w:w="0" w:type="dxa"/>
        </w:trPr>
        <w:tc>
          <w:tcPr>
            <w:tcW w:w="9179" w:type="dxa"/>
            <w:gridSpan w:val="3"/>
            <w:shd w:val="clear" w:color="auto" w:fill="auto"/>
            <w:vAlign w:val="center"/>
          </w:tcPr>
          <w:p w:rsidR="004F7B9A" w:rsidRPr="00363F20" w:rsidRDefault="004F7B9A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F7B9A" w:rsidRPr="00363F20">
        <w:trPr>
          <w:trHeight w:val="390"/>
          <w:tblCellSpacing w:w="0" w:type="dxa"/>
        </w:trPr>
        <w:tc>
          <w:tcPr>
            <w:tcW w:w="4249" w:type="dxa"/>
            <w:shd w:val="clear" w:color="auto" w:fill="auto"/>
          </w:tcPr>
          <w:p w:rsidR="004F7B9A" w:rsidRPr="00363F20" w:rsidRDefault="004F7B9A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930" w:type="dxa"/>
            <w:gridSpan w:val="2"/>
            <w:shd w:val="clear" w:color="auto" w:fill="auto"/>
            <w:vAlign w:val="center"/>
          </w:tcPr>
          <w:p w:rsidR="004F7B9A" w:rsidRPr="00363F20" w:rsidRDefault="004F7B9A" w:rsidP="00E11BA5">
            <w:pPr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363F20">
              <w:rPr>
                <w:rFonts w:ascii="Bookman Old Style" w:hAnsi="Bookman Old Style"/>
                <w:b/>
                <w:sz w:val="24"/>
                <w:szCs w:val="24"/>
              </w:rPr>
              <w:t>"Que dispõe sobre a concessão de Licença-Prêmio e Adic</w:t>
            </w:r>
            <w:r>
              <w:rPr>
                <w:rFonts w:ascii="Bookman Old Style" w:hAnsi="Bookman Old Style"/>
                <w:b/>
                <w:sz w:val="24"/>
                <w:szCs w:val="24"/>
              </w:rPr>
              <w:t>ional por Tempo de Serviço aos S</w:t>
            </w:r>
            <w:r w:rsidRPr="00363F20">
              <w:rPr>
                <w:rFonts w:ascii="Bookman Old Style" w:hAnsi="Bookman Old Style"/>
                <w:b/>
                <w:sz w:val="24"/>
                <w:szCs w:val="24"/>
              </w:rPr>
              <w:t xml:space="preserve">ervidores </w:t>
            </w: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Públicos </w:t>
            </w:r>
            <w:r w:rsidRPr="00363F20">
              <w:rPr>
                <w:rFonts w:ascii="Bookman Old Style" w:hAnsi="Bookman Old Style"/>
                <w:b/>
                <w:sz w:val="24"/>
                <w:szCs w:val="24"/>
              </w:rPr>
              <w:t>Municipais</w:t>
            </w: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 (Prefeitura, Câmara</w:t>
            </w:r>
            <w:r w:rsidRPr="00363F20">
              <w:rPr>
                <w:rFonts w:ascii="Bookman Old Style" w:hAnsi="Bookman Old Style"/>
                <w:b/>
                <w:sz w:val="24"/>
                <w:szCs w:val="24"/>
              </w:rPr>
              <w:t xml:space="preserve"> e Autarquia</w:t>
            </w:r>
            <w:r>
              <w:rPr>
                <w:rFonts w:ascii="Bookman Old Style" w:hAnsi="Bookman Old Style"/>
                <w:b/>
                <w:sz w:val="24"/>
                <w:szCs w:val="24"/>
              </w:rPr>
              <w:t>s)</w:t>
            </w:r>
            <w:r w:rsidRPr="00363F20">
              <w:rPr>
                <w:rFonts w:ascii="Bookman Old Style" w:hAnsi="Bookman Old Style"/>
                <w:b/>
                <w:sz w:val="24"/>
                <w:szCs w:val="24"/>
              </w:rPr>
              <w:t xml:space="preserve">, </w:t>
            </w:r>
            <w:r>
              <w:rPr>
                <w:rFonts w:ascii="Bookman Old Style" w:hAnsi="Bookman Old Style"/>
                <w:b/>
                <w:sz w:val="24"/>
                <w:szCs w:val="24"/>
              </w:rPr>
              <w:t>regidos pelas Consolidações das Leis Trabalhistas – (C.L.T.)</w:t>
            </w:r>
            <w:r w:rsidRPr="00363F20">
              <w:rPr>
                <w:rFonts w:ascii="Bookman Old Style" w:hAnsi="Bookman Old Style"/>
                <w:b/>
                <w:sz w:val="24"/>
                <w:szCs w:val="24"/>
              </w:rPr>
              <w:t xml:space="preserve"> e dá outras providências”.</w:t>
            </w:r>
          </w:p>
        </w:tc>
      </w:tr>
      <w:tr w:rsidR="004F7B9A" w:rsidRPr="00363F20">
        <w:trPr>
          <w:trHeight w:val="240"/>
          <w:tblCellSpacing w:w="0" w:type="dxa"/>
        </w:trPr>
        <w:tc>
          <w:tcPr>
            <w:tcW w:w="9179" w:type="dxa"/>
            <w:gridSpan w:val="3"/>
            <w:shd w:val="clear" w:color="auto" w:fill="auto"/>
            <w:vAlign w:val="center"/>
          </w:tcPr>
          <w:p w:rsidR="004F7B9A" w:rsidRPr="00363F20" w:rsidRDefault="004F7B9A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F7B9A" w:rsidRPr="00363F20">
        <w:trPr>
          <w:trHeight w:val="390"/>
          <w:tblCellSpacing w:w="0" w:type="dxa"/>
        </w:trPr>
        <w:tc>
          <w:tcPr>
            <w:tcW w:w="9179" w:type="dxa"/>
            <w:gridSpan w:val="3"/>
            <w:shd w:val="clear" w:color="auto" w:fill="auto"/>
            <w:vAlign w:val="center"/>
          </w:tcPr>
          <w:p w:rsidR="004F7B9A" w:rsidRPr="00894535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474649">
              <w:rPr>
                <w:rFonts w:ascii="Bookman Old Style" w:hAnsi="Bookman Old Style"/>
                <w:b/>
                <w:sz w:val="24"/>
                <w:szCs w:val="24"/>
              </w:rPr>
              <w:t>Artigo 1º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Fica autorizado ao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Poder Executivo oferecer aos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Servidor</w:t>
            </w:r>
            <w:r>
              <w:rPr>
                <w:rFonts w:ascii="Bookman Old Style" w:hAnsi="Bookman Old Style"/>
                <w:sz w:val="24"/>
                <w:szCs w:val="24"/>
              </w:rPr>
              <w:t>es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Público</w:t>
            </w:r>
            <w:r>
              <w:rPr>
                <w:rFonts w:ascii="Bookman Old Style" w:hAnsi="Bookman Old Style"/>
                <w:sz w:val="24"/>
                <w:szCs w:val="24"/>
              </w:rPr>
              <w:t>s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Municipa</w:t>
            </w:r>
            <w:r>
              <w:rPr>
                <w:rFonts w:ascii="Bookman Old Style" w:hAnsi="Bookman Old Style"/>
                <w:sz w:val="24"/>
                <w:szCs w:val="24"/>
              </w:rPr>
              <w:t>is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(Prefeitura, Câmara e Autarquias),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ora 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>regido</w:t>
            </w:r>
            <w:r>
              <w:rPr>
                <w:rFonts w:ascii="Bookman Old Style" w:hAnsi="Bookman Old Style"/>
                <w:sz w:val="24"/>
                <w:szCs w:val="24"/>
              </w:rPr>
              <w:t>s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pela Consolidação das Leis do Trabalho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(CLT)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>, do Município de Santa Bárbara d</w:t>
            </w:r>
            <w:r>
              <w:rPr>
                <w:rFonts w:ascii="Bookman Old Style" w:hAnsi="Bookman Old Style"/>
                <w:sz w:val="24"/>
                <w:szCs w:val="24"/>
              </w:rPr>
              <w:t>’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Oeste, Estado de São Paulo,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a 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>conce</w:t>
            </w:r>
            <w:r>
              <w:rPr>
                <w:rFonts w:ascii="Bookman Old Style" w:hAnsi="Bookman Old Style"/>
                <w:sz w:val="24"/>
                <w:szCs w:val="24"/>
              </w:rPr>
              <w:t>ssão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d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a Licença-Prêmio, após período aquisitivo de </w:t>
            </w:r>
            <w:r>
              <w:rPr>
                <w:rFonts w:ascii="Bookman Old Style" w:hAnsi="Bookman Old Style"/>
                <w:sz w:val="24"/>
                <w:szCs w:val="24"/>
              </w:rPr>
              <w:t>05 (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>cinco anos</w:t>
            </w:r>
            <w:r>
              <w:rPr>
                <w:rFonts w:ascii="Bookman Old Style" w:hAnsi="Bookman Old Style"/>
                <w:sz w:val="24"/>
                <w:szCs w:val="24"/>
              </w:rPr>
              <w:t>)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contínuos</w:t>
            </w:r>
            <w:r>
              <w:rPr>
                <w:rFonts w:ascii="Bookman Old Style" w:hAnsi="Bookman Old Style"/>
                <w:sz w:val="24"/>
                <w:szCs w:val="24"/>
              </w:rPr>
              <w:t>,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ou resultante da somatória de períodos alternados de trabalhos, ininterruptos ou não, independentemente do regime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em vigência à época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>, prestados aos entes públicos previstos neste artigo.</w:t>
            </w:r>
          </w:p>
          <w:p w:rsidR="004F7B9A" w:rsidRPr="00894535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474649">
              <w:rPr>
                <w:rFonts w:ascii="Bookman Old Style" w:hAnsi="Bookman Old Style"/>
                <w:b/>
                <w:sz w:val="24"/>
                <w:szCs w:val="24"/>
              </w:rPr>
              <w:t>§ 1º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A Licença-Prêmio consistirá no afastamento do trabalho, sem prejuízo dos salários e demais vantagens legais, pelo período de três meses contínuos ou de três parcelas não inferiores há trinta dias cada uma.</w:t>
            </w:r>
          </w:p>
          <w:p w:rsidR="004F7B9A" w:rsidRPr="00894535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i/>
                <w:iCs/>
                <w:sz w:val="16"/>
                <w:szCs w:val="16"/>
              </w:rPr>
            </w:pPr>
            <w:r w:rsidRPr="00474649">
              <w:rPr>
                <w:rFonts w:ascii="Bookman Old Style" w:hAnsi="Bookman Old Style"/>
                <w:b/>
                <w:sz w:val="24"/>
                <w:szCs w:val="24"/>
              </w:rPr>
              <w:t>§ 2º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O servidor poderá optar pelo recebimento da Licença-Prêmio em pecúnia, a qual será paga em parcela única, ou em três parcelas mensais e sucessivas, com base no salário vigente à data do efetivo pagamento do benefício, acrescido de Adicional por Tempo de Serviço, Função Gratificada e demais vantagens previstas em Lei</w:t>
            </w:r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:rsidR="004F7B9A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74649">
              <w:rPr>
                <w:rFonts w:ascii="Bookman Old Style" w:hAnsi="Bookman Old Style"/>
                <w:b/>
                <w:sz w:val="24"/>
                <w:szCs w:val="24"/>
              </w:rPr>
              <w:t>§ 3º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Havendo rescisão do contrato de trabalho celebrado há 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lastRenderedPageBreak/>
              <w:t>mais de dois anos e menos de cinco anos, o servidor público fará jus ao recebimento da Licença-Prêmio em pecúnia no valor proporcional ao período aquisitivo parcial, a ser pago em parcela única no ato da quitação das verbas trabalhistas rescisórias.</w:t>
            </w:r>
          </w:p>
          <w:p w:rsidR="004F7B9A" w:rsidRDefault="004F7B9A" w:rsidP="00E11BA5">
            <w:pPr>
              <w:rPr>
                <w:b/>
                <w:sz w:val="32"/>
                <w:szCs w:val="32"/>
              </w:rPr>
            </w:pPr>
            <w:r>
              <w:pict>
                <v:shape id="_x0000_i1026" type="#_x0000_t75" style="width:65pt;height:73pt">
                  <v:imagedata r:id="rId6" o:title="45"/>
                </v:shape>
              </w:pict>
            </w:r>
            <w:r>
              <w:rPr>
                <w:b/>
                <w:sz w:val="32"/>
                <w:szCs w:val="32"/>
              </w:rPr>
              <w:t>Câmara Municipal de Santa Bárbara d’Oeste</w:t>
            </w:r>
          </w:p>
          <w:p w:rsidR="004F7B9A" w:rsidRDefault="004F7B9A" w:rsidP="00E11BA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“Palácio 15 de Junho”</w:t>
            </w:r>
          </w:p>
          <w:p w:rsidR="004F7B9A" w:rsidRDefault="004F7B9A" w:rsidP="00E11BA5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>
              <w:rPr>
                <w:b/>
              </w:rPr>
              <w:t>Gabinete do Vereador Carlos Fontes - 1º Secretário da Mesa Diretora</w:t>
            </w:r>
          </w:p>
          <w:p w:rsidR="004F7B9A" w:rsidRDefault="004F7B9A" w:rsidP="00E11BA5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>
              <w:t xml:space="preserve">Visite o nosso blog: </w:t>
            </w:r>
            <w:r>
              <w:rPr>
                <w:b/>
              </w:rPr>
              <w:t>www.carlosfontesvereador.blogspot.com</w:t>
            </w:r>
          </w:p>
          <w:p w:rsidR="004F7B9A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4F7B9A" w:rsidRPr="00474649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474649">
              <w:rPr>
                <w:rFonts w:ascii="Bookman Old Style" w:hAnsi="Bookman Old Style"/>
                <w:b/>
                <w:sz w:val="24"/>
                <w:szCs w:val="24"/>
              </w:rPr>
              <w:t>§ 4º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Será considerado, para efeito de concessão do benefício, o critério da somatória de períodos alternados de trabalho nos casos de afastamento do servidor em gozo de licença para tratar de assunto de interesse particular.</w:t>
            </w:r>
          </w:p>
          <w:p w:rsidR="004F7B9A" w:rsidRPr="00474649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474649">
              <w:rPr>
                <w:rFonts w:ascii="Bookman Old Style" w:hAnsi="Bookman Old Style"/>
                <w:b/>
                <w:sz w:val="24"/>
                <w:szCs w:val="24"/>
              </w:rPr>
              <w:t>§ 5º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Fica assegurado ao servidor que aposentar-se o direito ao recebimento da Licença-Prêmio em pecúnia, por ocasião do seu desligamento, proporcionalmente ao período trabalhado.</w:t>
            </w:r>
          </w:p>
          <w:p w:rsidR="004F7B9A" w:rsidRPr="00474649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474649">
              <w:rPr>
                <w:rFonts w:ascii="Bookman Old Style" w:hAnsi="Bookman Old Style"/>
                <w:b/>
                <w:sz w:val="24"/>
                <w:szCs w:val="24"/>
              </w:rPr>
              <w:t>Artigo 2º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Os períodos aquisitivos contínuos ou somados serão interrompidos, e a contagem do novo prazo iniciar-se-á no primeiro dia após a data do impedimento, quando o servidor houver:</w:t>
            </w:r>
          </w:p>
          <w:p w:rsidR="004F7B9A" w:rsidRPr="00474649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63F20">
              <w:rPr>
                <w:rFonts w:ascii="Bookman Old Style" w:hAnsi="Bookman Old Style"/>
                <w:sz w:val="24"/>
                <w:szCs w:val="24"/>
              </w:rPr>
              <w:t>I - sofrido demissão por justa causa;</w:t>
            </w:r>
          </w:p>
          <w:p w:rsidR="004F7B9A" w:rsidRPr="00474649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63F20">
              <w:rPr>
                <w:rFonts w:ascii="Bookman Old Style" w:hAnsi="Bookman Old Style"/>
                <w:sz w:val="24"/>
                <w:szCs w:val="24"/>
              </w:rPr>
              <w:t>II - sofrido pena de suspensão;</w:t>
            </w:r>
          </w:p>
          <w:p w:rsidR="004F7B9A" w:rsidRPr="00474649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63F20">
              <w:rPr>
                <w:rFonts w:ascii="Bookman Old Style" w:hAnsi="Bookman Old Style"/>
                <w:sz w:val="24"/>
                <w:szCs w:val="24"/>
              </w:rPr>
              <w:t>III - praticado mais de cinco faltas injustificadas ao trabalho;</w:t>
            </w:r>
          </w:p>
          <w:p w:rsidR="004F7B9A" w:rsidRPr="00474649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IV - praticado atrasos na entrada, ausência durante e saídas antecipadas ao trabalho, que, somados, totalizem mais de </w:t>
            </w:r>
            <w:r>
              <w:rPr>
                <w:rFonts w:ascii="Bookman Old Style" w:hAnsi="Bookman Old Style"/>
                <w:sz w:val="24"/>
                <w:szCs w:val="24"/>
              </w:rPr>
              <w:t>05 (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>cinco</w:t>
            </w:r>
            <w:r>
              <w:rPr>
                <w:rFonts w:ascii="Bookman Old Style" w:hAnsi="Bookman Old Style"/>
                <w:sz w:val="24"/>
                <w:szCs w:val="24"/>
              </w:rPr>
              <w:t>)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jornadas diárias, considerando-se o expediente oficial, sem prejuízo da aplicação de penalidade disciplinar;</w:t>
            </w:r>
          </w:p>
          <w:p w:rsidR="004F7B9A" w:rsidRPr="00474649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V - gozado licença por motivo de doença em pessoa da família por mais de </w:t>
            </w:r>
            <w:r>
              <w:rPr>
                <w:rFonts w:ascii="Bookman Old Style" w:hAnsi="Bookman Old Style"/>
                <w:sz w:val="24"/>
                <w:szCs w:val="24"/>
              </w:rPr>
              <w:t>60 (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>sessenta dias</w:t>
            </w:r>
            <w:r>
              <w:rPr>
                <w:rFonts w:ascii="Bookman Old Style" w:hAnsi="Bookman Old Style"/>
                <w:sz w:val="24"/>
                <w:szCs w:val="24"/>
              </w:rPr>
              <w:t>)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>, consecutivos ou não;</w:t>
            </w:r>
          </w:p>
          <w:p w:rsidR="004F7B9A" w:rsidRPr="00474649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VI - gozado licença para tratamento de saúde por período superior a </w:t>
            </w:r>
            <w:r>
              <w:rPr>
                <w:rFonts w:ascii="Bookman Old Style" w:hAnsi="Bookman Old Style"/>
                <w:sz w:val="24"/>
                <w:szCs w:val="24"/>
              </w:rPr>
              <w:t>120 (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>cento e vinte</w:t>
            </w:r>
            <w:r>
              <w:rPr>
                <w:rFonts w:ascii="Bookman Old Style" w:hAnsi="Bookman Old Style"/>
                <w:sz w:val="24"/>
                <w:szCs w:val="24"/>
              </w:rPr>
              <w:t>)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dias, consecutivos ou não;</w:t>
            </w:r>
          </w:p>
          <w:p w:rsidR="004F7B9A" w:rsidRPr="00474649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63F20">
              <w:rPr>
                <w:rFonts w:ascii="Bookman Old Style" w:hAnsi="Bookman Old Style"/>
                <w:sz w:val="24"/>
                <w:szCs w:val="24"/>
              </w:rPr>
              <w:lastRenderedPageBreak/>
              <w:t>VII - ultrapassado o limite máximo de trinta dias de ausência decorrentes da somatória de:</w:t>
            </w:r>
          </w:p>
          <w:p w:rsidR="004F7B9A" w:rsidRDefault="004F7B9A" w:rsidP="00E11BA5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</w:p>
          <w:p w:rsidR="004F7B9A" w:rsidRDefault="004F7B9A" w:rsidP="00E11BA5">
            <w:pPr>
              <w:rPr>
                <w:b/>
                <w:sz w:val="32"/>
                <w:szCs w:val="32"/>
              </w:rPr>
            </w:pPr>
            <w:r>
              <w:pict>
                <v:shape id="_x0000_i1027" type="#_x0000_t75" style="width:65pt;height:73pt">
                  <v:imagedata r:id="rId6" o:title="45"/>
                </v:shape>
              </w:pict>
            </w:r>
            <w:r>
              <w:rPr>
                <w:b/>
                <w:sz w:val="32"/>
                <w:szCs w:val="32"/>
              </w:rPr>
              <w:t>Câmara Municipal de Santa Bárbara d’Oeste</w:t>
            </w:r>
          </w:p>
          <w:p w:rsidR="004F7B9A" w:rsidRDefault="004F7B9A" w:rsidP="00E11BA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“Palácio 15 de Junho”</w:t>
            </w:r>
          </w:p>
          <w:p w:rsidR="004F7B9A" w:rsidRDefault="004F7B9A" w:rsidP="00E11BA5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>
              <w:rPr>
                <w:b/>
              </w:rPr>
              <w:t>Gabinete do Vereador Carlos Fontes - 1º Secretário da Mesa Diretora</w:t>
            </w:r>
          </w:p>
          <w:p w:rsidR="004F7B9A" w:rsidRDefault="004F7B9A" w:rsidP="00E11BA5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>
              <w:t xml:space="preserve">Visite o nosso blog: </w:t>
            </w:r>
            <w:r>
              <w:rPr>
                <w:b/>
              </w:rPr>
              <w:t>www.carlosfontesvereador.blogspot.com</w:t>
            </w:r>
          </w:p>
          <w:p w:rsidR="004F7B9A" w:rsidRPr="00363F20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a) faltas justificadas, assim admitidas pela Consolidação das Leis do Trabalho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- CLT 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ou pela presente lei, e reconhecidas pela diretoria do departamento onde o servidor esteja lotado, em pedido protocolizado até </w:t>
            </w:r>
            <w:r>
              <w:rPr>
                <w:rFonts w:ascii="Bookman Old Style" w:hAnsi="Bookman Old Style"/>
                <w:sz w:val="24"/>
                <w:szCs w:val="24"/>
              </w:rPr>
              <w:t>90 (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>noventa dias</w:t>
            </w:r>
            <w:r>
              <w:rPr>
                <w:rFonts w:ascii="Bookman Old Style" w:hAnsi="Bookman Old Style"/>
                <w:sz w:val="24"/>
                <w:szCs w:val="24"/>
              </w:rPr>
              <w:t>),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a contar de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>cada falta, sob pena de prescrição;</w:t>
            </w:r>
          </w:p>
          <w:p w:rsidR="004F7B9A" w:rsidRPr="00363F20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63F20">
              <w:rPr>
                <w:rFonts w:ascii="Bookman Old Style" w:hAnsi="Bookman Old Style"/>
                <w:sz w:val="24"/>
                <w:szCs w:val="24"/>
              </w:rPr>
              <w:t>b) faltas injustificadas até o máximo de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05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(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>cinco</w:t>
            </w:r>
            <w:r>
              <w:rPr>
                <w:rFonts w:ascii="Bookman Old Style" w:hAnsi="Bookman Old Style"/>
                <w:sz w:val="24"/>
                <w:szCs w:val="24"/>
              </w:rPr>
              <w:t>)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:rsidR="004F7B9A" w:rsidRPr="00363F20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c) somatória de ausências parciais, previstas no inciso IV deste artigo, até atingir o máximo de </w:t>
            </w:r>
            <w:r>
              <w:rPr>
                <w:rFonts w:ascii="Bookman Old Style" w:hAnsi="Bookman Old Style"/>
                <w:sz w:val="24"/>
                <w:szCs w:val="24"/>
              </w:rPr>
              <w:t>05 (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>cinco</w:t>
            </w:r>
            <w:r>
              <w:rPr>
                <w:rFonts w:ascii="Bookman Old Style" w:hAnsi="Bookman Old Style"/>
                <w:sz w:val="24"/>
                <w:szCs w:val="24"/>
              </w:rPr>
              <w:t>)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jornadas diárias de trabalho.</w:t>
            </w:r>
          </w:p>
          <w:p w:rsidR="004F7B9A" w:rsidRPr="00363F20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2C5A87">
              <w:rPr>
                <w:rFonts w:ascii="Bookman Old Style" w:hAnsi="Bookman Old Style"/>
                <w:b/>
                <w:sz w:val="24"/>
                <w:szCs w:val="24"/>
              </w:rPr>
              <w:t>Artigo 3º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Serão considerados de efetivo exercício, não interrompendo os períodos aquisitivos, total ou parcial, para obtenção da Licença-Prêmio, os dias em que o servidor estiver afastado do trabalho em virtude de:</w:t>
            </w:r>
          </w:p>
          <w:p w:rsidR="004F7B9A" w:rsidRPr="00363F20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63F20">
              <w:rPr>
                <w:rFonts w:ascii="Bookman Old Style" w:hAnsi="Bookman Old Style"/>
                <w:sz w:val="24"/>
                <w:szCs w:val="24"/>
              </w:rPr>
              <w:t>I - férias;</w:t>
            </w:r>
          </w:p>
          <w:p w:rsidR="004F7B9A" w:rsidRPr="00363F20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II - casamento, até </w:t>
            </w:r>
            <w:r>
              <w:rPr>
                <w:rFonts w:ascii="Bookman Old Style" w:hAnsi="Bookman Old Style"/>
                <w:sz w:val="24"/>
                <w:szCs w:val="24"/>
              </w:rPr>
              <w:t>08 (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>oito</w:t>
            </w:r>
            <w:r>
              <w:rPr>
                <w:rFonts w:ascii="Bookman Old Style" w:hAnsi="Bookman Old Style"/>
                <w:sz w:val="24"/>
                <w:szCs w:val="24"/>
              </w:rPr>
              <w:t>)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dias corridos;</w:t>
            </w:r>
          </w:p>
          <w:p w:rsidR="004F7B9A" w:rsidRPr="00363F20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III - falecimento de cônjuge, pais, filhos e irmãos, até </w:t>
            </w:r>
            <w:r>
              <w:rPr>
                <w:rFonts w:ascii="Bookman Old Style" w:hAnsi="Bookman Old Style"/>
                <w:sz w:val="24"/>
                <w:szCs w:val="24"/>
              </w:rPr>
              <w:t>08 (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>oito</w:t>
            </w:r>
            <w:r>
              <w:rPr>
                <w:rFonts w:ascii="Bookman Old Style" w:hAnsi="Bookman Old Style"/>
                <w:sz w:val="24"/>
                <w:szCs w:val="24"/>
              </w:rPr>
              <w:t>)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dias corridos;</w:t>
            </w:r>
          </w:p>
          <w:p w:rsidR="004F7B9A" w:rsidRPr="00363F20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IV - falecimento de sogros, genros, noras, padrastos, enteados, madrastas, cunhados e avós, até </w:t>
            </w:r>
            <w:r>
              <w:rPr>
                <w:rFonts w:ascii="Bookman Old Style" w:hAnsi="Bookman Old Style"/>
                <w:sz w:val="24"/>
                <w:szCs w:val="24"/>
              </w:rPr>
              <w:t>02 (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>dois</w:t>
            </w:r>
            <w:r>
              <w:rPr>
                <w:rFonts w:ascii="Bookman Old Style" w:hAnsi="Bookman Old Style"/>
                <w:sz w:val="24"/>
                <w:szCs w:val="24"/>
              </w:rPr>
              <w:t>)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dias corridos;</w:t>
            </w:r>
          </w:p>
          <w:p w:rsidR="004F7B9A" w:rsidRPr="00363F20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63F20">
              <w:rPr>
                <w:rFonts w:ascii="Bookman Old Style" w:hAnsi="Bookman Old Style"/>
                <w:sz w:val="24"/>
                <w:szCs w:val="24"/>
              </w:rPr>
              <w:t>V - licença à servidora gestante;</w:t>
            </w:r>
          </w:p>
          <w:p w:rsidR="004F7B9A" w:rsidRPr="00363F20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63F20">
              <w:rPr>
                <w:rFonts w:ascii="Bookman Old Style" w:hAnsi="Bookman Old Style"/>
                <w:sz w:val="24"/>
                <w:szCs w:val="24"/>
              </w:rPr>
              <w:t>VI - licença-paternidade;</w:t>
            </w:r>
          </w:p>
          <w:p w:rsidR="004F7B9A" w:rsidRPr="00363F20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63F20">
              <w:rPr>
                <w:rFonts w:ascii="Bookman Old Style" w:hAnsi="Bookman Old Style"/>
                <w:sz w:val="24"/>
                <w:szCs w:val="24"/>
              </w:rPr>
              <w:t>VII - licença ao servidor vitimado por acidente de trabalho;</w:t>
            </w:r>
          </w:p>
          <w:p w:rsidR="004F7B9A" w:rsidRPr="00363F20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63F20">
              <w:rPr>
                <w:rFonts w:ascii="Bookman Old Style" w:hAnsi="Bookman Old Style"/>
                <w:sz w:val="24"/>
                <w:szCs w:val="24"/>
              </w:rPr>
              <w:t>VIII - convocação para serviço militar, desde que haja prejuízo ao horário de expediente de trabalho;</w:t>
            </w:r>
          </w:p>
          <w:p w:rsidR="004F7B9A" w:rsidRDefault="004F7B9A" w:rsidP="00E11BA5">
            <w:pPr>
              <w:rPr>
                <w:b/>
                <w:sz w:val="32"/>
                <w:szCs w:val="32"/>
              </w:rPr>
            </w:pPr>
            <w:r>
              <w:pict>
                <v:shape id="_x0000_i1028" type="#_x0000_t75" style="width:65pt;height:73pt">
                  <v:imagedata r:id="rId6" o:title="45"/>
                </v:shape>
              </w:pict>
            </w:r>
            <w:r>
              <w:rPr>
                <w:b/>
                <w:sz w:val="32"/>
                <w:szCs w:val="32"/>
              </w:rPr>
              <w:t>Câmara Municipal de Santa Bárbara d’Oeste</w:t>
            </w:r>
          </w:p>
          <w:p w:rsidR="004F7B9A" w:rsidRDefault="004F7B9A" w:rsidP="00E11BA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“Palácio 15 de Junho”</w:t>
            </w:r>
          </w:p>
          <w:p w:rsidR="004F7B9A" w:rsidRDefault="004F7B9A" w:rsidP="00E11BA5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>
              <w:rPr>
                <w:b/>
              </w:rPr>
              <w:t>Gabinete do Vereador Carlos Fontes - 1º Secretário da Mesa Diretora</w:t>
            </w:r>
          </w:p>
          <w:p w:rsidR="004F7B9A" w:rsidRDefault="004F7B9A" w:rsidP="00E11BA5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>
              <w:t xml:space="preserve">Visite o nosso blog: </w:t>
            </w:r>
            <w:r>
              <w:rPr>
                <w:b/>
              </w:rPr>
              <w:t>www.carlosfontesvereador.blogspot.com</w:t>
            </w:r>
          </w:p>
          <w:p w:rsidR="004F7B9A" w:rsidRPr="00363F20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63F20">
              <w:rPr>
                <w:rFonts w:ascii="Bookman Old Style" w:hAnsi="Bookman Old Style"/>
                <w:sz w:val="24"/>
                <w:szCs w:val="24"/>
              </w:rPr>
              <w:t>IX - comparecimento a audiências do Poder Judiciário, como jurado, parte, testemunha, ou para outra tarefa obrigatória por lei;</w:t>
            </w:r>
          </w:p>
          <w:p w:rsidR="004F7B9A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63F20">
              <w:rPr>
                <w:rFonts w:ascii="Bookman Old Style" w:hAnsi="Bookman Old Style"/>
                <w:sz w:val="24"/>
                <w:szCs w:val="24"/>
              </w:rPr>
              <w:t>X - afastamento para o exercício de mandato público eletivo na forma da legislação aplicável;</w:t>
            </w:r>
          </w:p>
          <w:p w:rsidR="004F7B9A" w:rsidRPr="00363F20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63F20">
              <w:rPr>
                <w:rFonts w:ascii="Bookman Old Style" w:hAnsi="Bookman Old Style"/>
                <w:sz w:val="24"/>
                <w:szCs w:val="24"/>
              </w:rPr>
              <w:t>XI - desempenho de funções junto a repartições públicas federais, estaduais ou de outro município, dos poderes Executivo, Legislativo ou Judiciário, d</w:t>
            </w:r>
            <w:r>
              <w:rPr>
                <w:rFonts w:ascii="Bookman Old Style" w:hAnsi="Bookman Old Style"/>
                <w:sz w:val="24"/>
                <w:szCs w:val="24"/>
              </w:rPr>
              <w:t>esde que previamente autorizado;</w:t>
            </w:r>
          </w:p>
          <w:p w:rsidR="004F7B9A" w:rsidRPr="00363F20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2C5A87">
              <w:rPr>
                <w:rFonts w:ascii="Bookman Old Style" w:hAnsi="Bookman Old Style"/>
                <w:b/>
                <w:sz w:val="24"/>
                <w:szCs w:val="24"/>
              </w:rPr>
              <w:t>Artigo 4º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O pedido será feito por escrito e protocolizado, formando-se processo para a coleta de informações e pareceres, e será decidido pela mais alta autoridade dos entes públicos previstos no artigo 1º, que fixará as datas para o gozo da Licença-Prêmio, ou autorizará o pagamento em pecúnia na forma prevista nesta lei.</w:t>
            </w:r>
          </w:p>
          <w:p w:rsidR="004F7B9A" w:rsidRPr="00363F20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2C5A87">
              <w:rPr>
                <w:rFonts w:ascii="Bookman Old Style" w:hAnsi="Bookman Old Style"/>
                <w:b/>
                <w:sz w:val="24"/>
                <w:szCs w:val="24"/>
              </w:rPr>
              <w:t>§ 1º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O servidor deverá aguardar em exercício a concessão da Licença-Prêmio.</w:t>
            </w:r>
          </w:p>
          <w:p w:rsidR="004F7B9A" w:rsidRPr="00363F20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2C5A87">
              <w:rPr>
                <w:rFonts w:ascii="Bookman Old Style" w:hAnsi="Bookman Old Style"/>
                <w:b/>
                <w:sz w:val="24"/>
                <w:szCs w:val="24"/>
              </w:rPr>
              <w:t>§ 2º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O gozo de Licença-Prêmio poderá ser interrompido pelo empregador, se o retorno do servidor ao trabalho for indispensável ao interesse público, assim considerado em regular processo administrativo e com despacho fundamentado, e uma vez cessada a causa da interrupção o servidor reiniciará o gozo da mesma pelo tempo faltante.</w:t>
            </w:r>
          </w:p>
          <w:p w:rsidR="004F7B9A" w:rsidRPr="00363F20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2C5A87">
              <w:rPr>
                <w:rFonts w:ascii="Bookman Old Style" w:hAnsi="Bookman Old Style"/>
                <w:b/>
                <w:sz w:val="24"/>
                <w:szCs w:val="24"/>
              </w:rPr>
              <w:t>Artigo 5º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O servidor das entidades previstas no artigo 1º desta lei, regido pela Consolidação das Leis do Trabalho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- CLT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, terá direito, após cada período de </w:t>
            </w:r>
            <w:r>
              <w:rPr>
                <w:rFonts w:ascii="Bookman Old Style" w:hAnsi="Bookman Old Style"/>
                <w:sz w:val="24"/>
                <w:szCs w:val="24"/>
              </w:rPr>
              <w:t>01 (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>um</w:t>
            </w:r>
            <w:r>
              <w:rPr>
                <w:rFonts w:ascii="Bookman Old Style" w:hAnsi="Bookman Old Style"/>
                <w:sz w:val="24"/>
                <w:szCs w:val="24"/>
              </w:rPr>
              <w:t>)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ano de trabalho contínuo, ou resultante da somatória de períodos alternados e descontínuos, prestados às referidas entidades, à percepção de Adicional por Tempo de Serviço, calculado a razão de 1% (um por cento) sobre o seu salário, ao qual se incorporará para todos os efeitos, exceto para fim de concessão de anuênios subseqüentes. </w:t>
            </w:r>
          </w:p>
          <w:p w:rsidR="004F7B9A" w:rsidRDefault="004F7B9A" w:rsidP="00E11BA5">
            <w:pPr>
              <w:rPr>
                <w:b/>
                <w:sz w:val="32"/>
                <w:szCs w:val="32"/>
              </w:rPr>
            </w:pPr>
            <w:r>
              <w:pict>
                <v:shape id="_x0000_i1029" type="#_x0000_t75" style="width:65pt;height:73pt">
                  <v:imagedata r:id="rId6" o:title="45"/>
                </v:shape>
              </w:pict>
            </w:r>
            <w:r>
              <w:rPr>
                <w:b/>
                <w:sz w:val="32"/>
                <w:szCs w:val="32"/>
              </w:rPr>
              <w:t>Câmara Municipal de Santa Bárbara d’Oeste</w:t>
            </w:r>
          </w:p>
          <w:p w:rsidR="004F7B9A" w:rsidRDefault="004F7B9A" w:rsidP="00E11BA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“Palácio 15 de Junho”</w:t>
            </w:r>
          </w:p>
          <w:p w:rsidR="004F7B9A" w:rsidRDefault="004F7B9A" w:rsidP="00E11BA5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>
              <w:rPr>
                <w:b/>
              </w:rPr>
              <w:t>Gabinete do Vereador Carlos Fontes - 1º Secretário da Mesa Diretora</w:t>
            </w:r>
          </w:p>
          <w:p w:rsidR="004F7B9A" w:rsidRDefault="004F7B9A" w:rsidP="00E11BA5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>
              <w:t xml:space="preserve">Visite o nosso blog: </w:t>
            </w:r>
            <w:r>
              <w:rPr>
                <w:b/>
              </w:rPr>
              <w:t>www.carlosfontesvereador.blogspot.com</w:t>
            </w:r>
          </w:p>
          <w:p w:rsidR="004F7B9A" w:rsidRPr="00363F20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2C5A87">
              <w:rPr>
                <w:rFonts w:ascii="Bookman Old Style" w:hAnsi="Bookman Old Style"/>
                <w:b/>
                <w:sz w:val="24"/>
                <w:szCs w:val="24"/>
              </w:rPr>
              <w:t>Parágrafo único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O Adicional por Tempo de Serviço deverá ser autorizado pela maior autoridade das entidades previstas no artigo 1º desta lei, independentemente de requerimento do interessado, tão logo o servidor adquira o período aquisitivo nos termos desta lei, devendo fazê-lo por escrito em processo administrativo. </w:t>
            </w:r>
          </w:p>
          <w:p w:rsidR="004F7B9A" w:rsidRDefault="004F7B9A" w:rsidP="00E11BA5">
            <w:pPr>
              <w:spacing w:before="100" w:beforeAutospacing="1" w:after="100" w:afterAutospacing="1"/>
              <w:ind w:firstLine="14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2C5A87">
              <w:rPr>
                <w:rFonts w:ascii="Bookman Old Style" w:hAnsi="Bookman Old Style"/>
                <w:b/>
                <w:sz w:val="24"/>
                <w:szCs w:val="24"/>
              </w:rPr>
              <w:t>Artigo 6º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As despesas decorrentes desta lei correrão por conta das dotações orçamentárias próprias</w:t>
            </w:r>
            <w:r>
              <w:rPr>
                <w:rFonts w:ascii="Bookman Old Style" w:hAnsi="Bookman Old Style"/>
                <w:sz w:val="24"/>
                <w:szCs w:val="24"/>
              </w:rPr>
              <w:t>,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previstas no orçamento vigente, suplementadas se necessários. </w:t>
            </w:r>
          </w:p>
          <w:p w:rsidR="004F7B9A" w:rsidRPr="00363F20" w:rsidRDefault="004F7B9A" w:rsidP="00E11BA5">
            <w:pPr>
              <w:spacing w:before="100" w:beforeAutospacing="1" w:after="100" w:afterAutospacing="1"/>
              <w:ind w:left="30" w:right="30" w:firstLine="14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2C5A87">
              <w:rPr>
                <w:rFonts w:ascii="Bookman Old Style" w:hAnsi="Bookman Old Style"/>
                <w:b/>
                <w:sz w:val="24"/>
                <w:szCs w:val="24"/>
              </w:rPr>
              <w:t>Artigo 7º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 Esta lei entrará em vigor na data de sua publicação, revogadas as disposições em contrário.</w:t>
            </w:r>
          </w:p>
        </w:tc>
      </w:tr>
      <w:tr w:rsidR="004F7B9A" w:rsidRPr="00363F20">
        <w:trPr>
          <w:gridAfter w:val="1"/>
          <w:wAfter w:w="430" w:type="dxa"/>
          <w:trHeight w:val="296"/>
          <w:tblCellSpacing w:w="0" w:type="dxa"/>
        </w:trPr>
        <w:tc>
          <w:tcPr>
            <w:tcW w:w="8749" w:type="dxa"/>
            <w:gridSpan w:val="2"/>
            <w:shd w:val="clear" w:color="auto" w:fill="auto"/>
            <w:vAlign w:val="center"/>
          </w:tcPr>
          <w:p w:rsidR="004F7B9A" w:rsidRPr="00363F20" w:rsidRDefault="004F7B9A" w:rsidP="00E11BA5">
            <w:pPr>
              <w:spacing w:before="100" w:beforeAutospacing="1" w:after="100" w:afterAutospacing="1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F7B9A" w:rsidRPr="00363F20">
        <w:trPr>
          <w:gridAfter w:val="1"/>
          <w:wAfter w:w="430" w:type="dxa"/>
          <w:trHeight w:val="270"/>
          <w:tblCellSpacing w:w="0" w:type="dxa"/>
        </w:trPr>
        <w:tc>
          <w:tcPr>
            <w:tcW w:w="8749" w:type="dxa"/>
            <w:gridSpan w:val="2"/>
            <w:shd w:val="clear" w:color="auto" w:fill="auto"/>
          </w:tcPr>
          <w:p w:rsidR="004F7B9A" w:rsidRPr="00363F20" w:rsidRDefault="004F7B9A" w:rsidP="00E11BA5">
            <w:pPr>
              <w:ind w:firstLine="1440"/>
              <w:rPr>
                <w:rFonts w:ascii="Bookman Old Style" w:hAnsi="Bookman Old Style"/>
                <w:sz w:val="24"/>
                <w:szCs w:val="24"/>
              </w:rPr>
            </w:pP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Plenário </w:t>
            </w:r>
            <w:r>
              <w:rPr>
                <w:rFonts w:ascii="Bookman Old Style" w:hAnsi="Bookman Old Style"/>
                <w:sz w:val="24"/>
                <w:szCs w:val="24"/>
              </w:rPr>
              <w:t>“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>Doutor Tancredo Neves</w:t>
            </w:r>
            <w:r>
              <w:rPr>
                <w:rFonts w:ascii="Bookman Old Style" w:hAnsi="Bookman Old Style"/>
                <w:sz w:val="24"/>
                <w:szCs w:val="24"/>
              </w:rPr>
              <w:t>”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em </w:t>
            </w:r>
            <w:r w:rsidRPr="00363F20">
              <w:rPr>
                <w:rFonts w:ascii="Bookman Old Style" w:hAnsi="Bookman Old Style"/>
                <w:sz w:val="24"/>
                <w:szCs w:val="24"/>
              </w:rPr>
              <w:t>09 de abril de 2.010.</w:t>
            </w:r>
          </w:p>
          <w:p w:rsidR="004F7B9A" w:rsidRPr="00363F20" w:rsidRDefault="004F7B9A" w:rsidP="00E11BA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4F7B9A" w:rsidRPr="00363F20" w:rsidRDefault="004F7B9A" w:rsidP="00E11BA5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363F20">
              <w:rPr>
                <w:rFonts w:ascii="Bookman Old Style" w:hAnsi="Bookman Old Style"/>
                <w:b/>
                <w:sz w:val="24"/>
                <w:szCs w:val="24"/>
              </w:rPr>
              <w:t>Carlos Fontes</w:t>
            </w:r>
          </w:p>
          <w:p w:rsidR="004F7B9A" w:rsidRPr="00363F20" w:rsidRDefault="004F7B9A" w:rsidP="00E11BA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63F20">
              <w:rPr>
                <w:rFonts w:ascii="Bookman Old Style" w:hAnsi="Bookman Old Style"/>
                <w:sz w:val="24"/>
                <w:szCs w:val="24"/>
              </w:rPr>
              <w:t>-Vereador/ 1º Secretário-</w:t>
            </w:r>
          </w:p>
        </w:tc>
      </w:tr>
    </w:tbl>
    <w:p w:rsidR="004F7B9A" w:rsidRPr="00363F20" w:rsidRDefault="004F7B9A" w:rsidP="00E11BA5">
      <w:pPr>
        <w:rPr>
          <w:rFonts w:ascii="Bookman Old Style" w:hAnsi="Bookman Old Style"/>
        </w:rPr>
      </w:pPr>
    </w:p>
    <w:p w:rsidR="004F7B9A" w:rsidRPr="00363F20" w:rsidRDefault="004F7B9A">
      <w:pPr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BA5" w:rsidRDefault="00E11BA5">
      <w:r>
        <w:separator/>
      </w:r>
    </w:p>
  </w:endnote>
  <w:endnote w:type="continuationSeparator" w:id="0">
    <w:p w:rsidR="00E11BA5" w:rsidRDefault="00E11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BA5" w:rsidRDefault="00E11BA5">
      <w:r>
        <w:separator/>
      </w:r>
    </w:p>
  </w:footnote>
  <w:footnote w:type="continuationSeparator" w:id="0">
    <w:p w:rsidR="00E11BA5" w:rsidRDefault="00E11B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F7B9A"/>
    <w:rsid w:val="008028F0"/>
    <w:rsid w:val="009F196D"/>
    <w:rsid w:val="00A9035B"/>
    <w:rsid w:val="00CD613B"/>
    <w:rsid w:val="00E1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1151</Words>
  <Characters>6220</Characters>
  <Application>Microsoft Office Word</Application>
  <DocSecurity>4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