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0919A1">
        <w:rPr>
          <w:rFonts w:ascii="Arial" w:hAnsi="Arial" w:cs="Arial"/>
          <w:sz w:val="24"/>
          <w:szCs w:val="24"/>
        </w:rPr>
        <w:t xml:space="preserve"> ao requerimento 28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0919A1">
        <w:rPr>
          <w:rFonts w:ascii="Arial" w:hAnsi="Arial" w:cs="Arial"/>
          <w:sz w:val="24"/>
          <w:szCs w:val="24"/>
        </w:rPr>
        <w:t>e da resposta ao requerimento 28</w:t>
      </w:r>
      <w:r>
        <w:rPr>
          <w:rFonts w:ascii="Arial" w:hAnsi="Arial" w:cs="Arial"/>
          <w:sz w:val="24"/>
          <w:szCs w:val="24"/>
        </w:rPr>
        <w:t xml:space="preserve"> de 2021, </w:t>
      </w:r>
      <w:r w:rsidR="000919A1">
        <w:rPr>
          <w:rFonts w:ascii="Arial" w:hAnsi="Arial" w:cs="Arial"/>
          <w:sz w:val="24"/>
          <w:szCs w:val="24"/>
        </w:rPr>
        <w:t xml:space="preserve">detalhar o estudo com os dados comparativos afirmando que a atual jornada de trabalho dos técnicos de enfermagem, dos farmacêuticos e dos operadores de máquinas de </w:t>
      </w:r>
      <w:r w:rsidR="000919A1">
        <w:rPr>
          <w:rFonts w:ascii="Arial" w:hAnsi="Arial" w:cs="Arial"/>
          <w:sz w:val="24"/>
          <w:szCs w:val="24"/>
        </w:rPr>
        <w:t>raio-x</w:t>
      </w:r>
      <w:r w:rsidR="000919A1">
        <w:rPr>
          <w:rFonts w:ascii="Arial" w:hAnsi="Arial" w:cs="Arial"/>
          <w:sz w:val="24"/>
          <w:szCs w:val="24"/>
        </w:rPr>
        <w:t>, em detrimento da jornada de trabalho anterior.</w:t>
      </w:r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983906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20323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3007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25</cp:revision>
  <cp:lastPrinted>2013-01-24T12:50:00Z</cp:lastPrinted>
  <dcterms:created xsi:type="dcterms:W3CDTF">2021-04-27T13:33:00Z</dcterms:created>
  <dcterms:modified xsi:type="dcterms:W3CDTF">2021-05-13T16:41:00Z</dcterms:modified>
</cp:coreProperties>
</file>